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77B5CBB" w:rsidP="077B5CBB">
      <w:pPr>
        <w:pStyle w:val="LGAItemNoHeading"/>
        <w:spacing w:before="240"/>
        <w:jc w:val="both"/>
        <w:rPr>
          <w:rFonts w:ascii="Arial" w:hAnsi="Arial" w:cs="Arial"/>
          <w:sz w:val="28"/>
          <w:szCs w:val="28"/>
        </w:rPr>
      </w:pPr>
      <w:r w:rsidRPr="077B5CBB">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77B5CBB" w:rsidP="077B5CBB">
      <w:pPr>
        <w:pStyle w:val="MainText"/>
        <w:spacing w:line="240" w:lineRule="auto"/>
        <w:jc w:val="both"/>
        <w:rPr>
          <w:rFonts w:ascii="Arial" w:hAnsi="Arial" w:cs="Arial"/>
          <w:b/>
          <w:bCs/>
        </w:rPr>
      </w:pPr>
      <w:r w:rsidRPr="077B5CBB">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FE9861C" w:rsidR="00992E96" w:rsidRPr="0021114E" w:rsidRDefault="077B5CBB" w:rsidP="077B5CBB">
      <w:pPr>
        <w:pStyle w:val="MainText"/>
        <w:spacing w:line="240" w:lineRule="auto"/>
        <w:jc w:val="both"/>
        <w:rPr>
          <w:rFonts w:ascii="Arial" w:hAnsi="Arial" w:cs="Arial"/>
          <w:b/>
          <w:bCs/>
        </w:rPr>
      </w:pPr>
      <w:r w:rsidRPr="077B5CBB">
        <w:rPr>
          <w:rFonts w:ascii="Arial" w:hAnsi="Arial" w:cs="Arial"/>
        </w:rPr>
        <w:t>For information and agreement.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77B5CBB" w:rsidP="077B5CBB">
      <w:pPr>
        <w:pStyle w:val="MainText"/>
        <w:spacing w:line="240" w:lineRule="auto"/>
        <w:jc w:val="both"/>
        <w:rPr>
          <w:rFonts w:ascii="Arial" w:hAnsi="Arial" w:cs="Arial"/>
        </w:rPr>
      </w:pPr>
      <w:r w:rsidRPr="077B5CBB">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35F3CC09" w:rsidR="00992E96" w:rsidRPr="00765850" w:rsidRDefault="077B5CBB" w:rsidP="077B5CBB">
      <w:pPr>
        <w:pStyle w:val="MainText"/>
        <w:spacing w:line="240" w:lineRule="auto"/>
        <w:rPr>
          <w:rFonts w:ascii="Arial" w:hAnsi="Arial" w:cs="Arial"/>
        </w:rPr>
      </w:pPr>
      <w:r w:rsidRPr="077B5CBB">
        <w:rPr>
          <w:rFonts w:ascii="Arial" w:hAnsi="Arial" w:cs="Arial"/>
        </w:rPr>
        <w:t xml:space="preserve">This report updates members on progress on the Fair Funding Review and Business Rates Retention reform since the </w:t>
      </w:r>
      <w:r w:rsidR="00654AFE">
        <w:rPr>
          <w:rFonts w:ascii="Arial" w:hAnsi="Arial" w:cs="Arial"/>
        </w:rPr>
        <w:t>October</w:t>
      </w:r>
      <w:r w:rsidRPr="077B5CBB">
        <w:rPr>
          <w:rFonts w:ascii="Arial" w:hAnsi="Arial" w:cs="Arial"/>
        </w:rPr>
        <w:t xml:space="preserve"> meeting of the </w:t>
      </w:r>
      <w:r w:rsidR="00C35DFE">
        <w:rPr>
          <w:rFonts w:ascii="Arial" w:hAnsi="Arial" w:cs="Arial"/>
        </w:rPr>
        <w:t>LGA Executive</w:t>
      </w:r>
      <w:r w:rsidRPr="077B5CBB">
        <w:rPr>
          <w:rFonts w:ascii="Arial" w:hAnsi="Arial" w:cs="Arial"/>
        </w:rPr>
        <w:t>.</w:t>
      </w:r>
      <w:r w:rsidR="00654AFE">
        <w:rPr>
          <w:rFonts w:ascii="Arial" w:hAnsi="Arial" w:cs="Arial"/>
        </w:rPr>
        <w:t xml:space="preserve"> </w:t>
      </w:r>
      <w:r w:rsidR="00C35DFE">
        <w:rPr>
          <w:rFonts w:ascii="Arial" w:hAnsi="Arial" w:cs="Arial"/>
        </w:rPr>
        <w:t>LGA Executive</w:t>
      </w:r>
      <w:r w:rsidR="00654AFE">
        <w:rPr>
          <w:rFonts w:ascii="Arial" w:hAnsi="Arial" w:cs="Arial"/>
        </w:rPr>
        <w:t xml:space="preserve"> </w:t>
      </w:r>
      <w:r w:rsidR="00A2300E">
        <w:rPr>
          <w:rFonts w:ascii="Arial" w:hAnsi="Arial" w:cs="Arial"/>
        </w:rPr>
        <w:t>are invited to consider</w:t>
      </w:r>
      <w:r w:rsidR="00654AFE">
        <w:rPr>
          <w:rFonts w:ascii="Arial" w:hAnsi="Arial" w:cs="Arial"/>
        </w:rPr>
        <w:t xml:space="preserve"> a number of Fair Funding Review policy positions developed by the Business Rates Retention and Fair Funding Review Task and Finish Group which could form part of the LGA’s response</w:t>
      </w:r>
      <w:r w:rsidR="00A2300E">
        <w:rPr>
          <w:rFonts w:ascii="Arial" w:hAnsi="Arial" w:cs="Arial"/>
        </w:rPr>
        <w:t xml:space="preserve"> to the forthcoming consultation on the Fair Funding Review</w:t>
      </w:r>
      <w:r w:rsidR="00654AFE">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77B5CBB">
        <w:tc>
          <w:tcPr>
            <w:tcW w:w="9157" w:type="dxa"/>
          </w:tcPr>
          <w:p w14:paraId="3E83226F" w14:textId="1A86955A"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77B5CBB" w:rsidP="077B5CBB">
            <w:pPr>
              <w:pStyle w:val="MainText"/>
              <w:spacing w:line="240" w:lineRule="auto"/>
              <w:jc w:val="both"/>
              <w:rPr>
                <w:rFonts w:ascii="Arial" w:hAnsi="Arial" w:cs="Arial"/>
                <w:b/>
                <w:bCs/>
              </w:rPr>
            </w:pPr>
            <w:r w:rsidRPr="077B5CBB">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55EAFE4E" w:rsidR="00793A69" w:rsidRDefault="077B5CBB" w:rsidP="077B5CBB">
            <w:pPr>
              <w:pStyle w:val="MainText"/>
              <w:spacing w:line="240" w:lineRule="auto"/>
              <w:jc w:val="both"/>
              <w:rPr>
                <w:rFonts w:ascii="Arial" w:hAnsi="Arial" w:cs="Arial"/>
              </w:rPr>
            </w:pPr>
            <w:r w:rsidRPr="077B5CBB">
              <w:rPr>
                <w:rFonts w:ascii="Arial" w:hAnsi="Arial" w:cs="Arial"/>
              </w:rPr>
              <w:t xml:space="preserve">That members of </w:t>
            </w:r>
            <w:r w:rsidR="00C35DFE">
              <w:rPr>
                <w:rFonts w:ascii="Arial" w:hAnsi="Arial" w:cs="Arial"/>
              </w:rPr>
              <w:t>LGA Executive</w:t>
            </w:r>
            <w:r w:rsidR="00654AFE">
              <w:rPr>
                <w:rFonts w:ascii="Arial" w:hAnsi="Arial" w:cs="Arial"/>
              </w:rPr>
              <w:t xml:space="preserve"> note this</w:t>
            </w:r>
            <w:r w:rsidR="00A2300E">
              <w:rPr>
                <w:rFonts w:ascii="Arial" w:hAnsi="Arial" w:cs="Arial"/>
              </w:rPr>
              <w:t xml:space="preserve"> update and provide clearance of the</w:t>
            </w:r>
            <w:r w:rsidR="00654AFE">
              <w:rPr>
                <w:rFonts w:ascii="Arial" w:hAnsi="Arial" w:cs="Arial"/>
              </w:rPr>
              <w:t xml:space="preserve"> policy positions set out in table 1 and </w:t>
            </w:r>
            <w:r w:rsidR="00B27ADD" w:rsidRPr="001D662A">
              <w:rPr>
                <w:rFonts w:ascii="Arial" w:hAnsi="Arial" w:cs="Arial"/>
                <w:b/>
              </w:rPr>
              <w:t xml:space="preserve">Appendix </w:t>
            </w:r>
            <w:r w:rsidR="00C35DFE" w:rsidRPr="001D662A">
              <w:rPr>
                <w:rFonts w:ascii="Arial" w:hAnsi="Arial" w:cs="Arial"/>
                <w:b/>
              </w:rPr>
              <w:t>1</w:t>
            </w:r>
            <w:r w:rsidR="00654AFE">
              <w:rPr>
                <w:rFonts w:ascii="Arial" w:hAnsi="Arial" w:cs="Arial"/>
              </w:rPr>
              <w:t>.</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4" w14:textId="12422AAB" w:rsidR="00992E96" w:rsidRPr="0021114E" w:rsidRDefault="077B5CBB" w:rsidP="077B5CBB">
            <w:pPr>
              <w:pStyle w:val="MainText"/>
              <w:spacing w:line="240" w:lineRule="auto"/>
              <w:jc w:val="both"/>
              <w:rPr>
                <w:rFonts w:ascii="Arial" w:hAnsi="Arial" w:cs="Arial"/>
                <w:b/>
                <w:bCs/>
              </w:rPr>
            </w:pPr>
            <w:r w:rsidRPr="077B5CBB">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23D76D3D" w14:textId="58E40DDC" w:rsidR="00654AFE" w:rsidRDefault="077B5CBB" w:rsidP="077B5CBB">
            <w:pPr>
              <w:pStyle w:val="MainText"/>
              <w:spacing w:line="240" w:lineRule="auto"/>
              <w:jc w:val="both"/>
              <w:rPr>
                <w:rFonts w:ascii="Arial" w:hAnsi="Arial" w:cs="Arial"/>
              </w:rPr>
            </w:pPr>
            <w:r w:rsidRPr="077B5CBB">
              <w:rPr>
                <w:rFonts w:ascii="Arial" w:hAnsi="Arial" w:cs="Arial"/>
              </w:rPr>
              <w:t xml:space="preserve">Officers </w:t>
            </w:r>
            <w:r w:rsidR="00654AFE">
              <w:rPr>
                <w:rFonts w:ascii="Arial" w:hAnsi="Arial" w:cs="Arial"/>
              </w:rPr>
              <w:t>will use the views expressed by LGA</w:t>
            </w:r>
            <w:r w:rsidR="004B0D59">
              <w:rPr>
                <w:rFonts w:ascii="Arial" w:hAnsi="Arial" w:cs="Arial"/>
              </w:rPr>
              <w:t>’s</w:t>
            </w:r>
            <w:r w:rsidR="00654AFE">
              <w:rPr>
                <w:rFonts w:ascii="Arial" w:hAnsi="Arial" w:cs="Arial"/>
              </w:rPr>
              <w:t xml:space="preserve"> Leadership Board </w:t>
            </w:r>
            <w:r w:rsidR="004B0D59">
              <w:rPr>
                <w:rFonts w:ascii="Arial" w:hAnsi="Arial" w:cs="Arial"/>
              </w:rPr>
              <w:t xml:space="preserve">and Executive </w:t>
            </w:r>
            <w:r w:rsidR="00654AFE">
              <w:rPr>
                <w:rFonts w:ascii="Arial" w:hAnsi="Arial" w:cs="Arial"/>
              </w:rPr>
              <w:t>to draft a response to the upcoming Government consultation on the Fair Funding Review.</w:t>
            </w:r>
          </w:p>
          <w:p w14:paraId="381C6F85" w14:textId="77777777" w:rsidR="00654AFE" w:rsidRDefault="00654AFE" w:rsidP="077B5CBB">
            <w:pPr>
              <w:pStyle w:val="MainText"/>
              <w:spacing w:line="240" w:lineRule="auto"/>
              <w:jc w:val="both"/>
              <w:rPr>
                <w:rFonts w:ascii="Arial" w:hAnsi="Arial" w:cs="Arial"/>
              </w:rPr>
            </w:pPr>
          </w:p>
          <w:p w14:paraId="1CCE5E61" w14:textId="35EF0248" w:rsidR="00D91E1D" w:rsidRPr="0021114E" w:rsidRDefault="00654AFE" w:rsidP="077B5CBB">
            <w:pPr>
              <w:pStyle w:val="MainText"/>
              <w:spacing w:line="240" w:lineRule="auto"/>
              <w:jc w:val="both"/>
              <w:rPr>
                <w:rFonts w:ascii="Arial" w:hAnsi="Arial" w:cs="Arial"/>
                <w:b/>
                <w:bCs/>
              </w:rPr>
            </w:pPr>
            <w:r>
              <w:rPr>
                <w:rFonts w:ascii="Arial" w:hAnsi="Arial" w:cs="Arial"/>
              </w:rPr>
              <w:t>More widely, officers will</w:t>
            </w:r>
            <w:r w:rsidR="077B5CBB" w:rsidRPr="077B5CBB">
              <w:rPr>
                <w:rFonts w:ascii="Arial" w:hAnsi="Arial" w:cs="Arial"/>
              </w:rPr>
              <w:t xml:space="preserve"> proceed with delivery of the LGA work programme on Business Rates Retention and the Fair Funding Review as directed by the LGA Leadership Board, Executive and the Business Rates Retention and Fair Funding Review Task and Finish Group.</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77B5CBB">
        <w:tc>
          <w:tcPr>
            <w:tcW w:w="2774" w:type="dxa"/>
          </w:tcPr>
          <w:p w14:paraId="3E83227B" w14:textId="77777777" w:rsidR="00992E96" w:rsidRPr="00B27F61" w:rsidRDefault="077B5CBB" w:rsidP="077B5CBB">
            <w:pPr>
              <w:pStyle w:val="MainText"/>
              <w:spacing w:before="120" w:line="240" w:lineRule="auto"/>
              <w:jc w:val="both"/>
              <w:rPr>
                <w:rFonts w:ascii="Arial" w:hAnsi="Arial" w:cs="Arial"/>
                <w:sz w:val="22"/>
                <w:szCs w:val="22"/>
              </w:rPr>
            </w:pPr>
            <w:r w:rsidRPr="077B5CBB">
              <w:rPr>
                <w:rFonts w:ascii="Arial" w:hAnsi="Arial" w:cs="Arial"/>
                <w:b/>
                <w:bCs/>
                <w:sz w:val="22"/>
                <w:szCs w:val="22"/>
              </w:rPr>
              <w:t>Contact officer:</w:t>
            </w:r>
            <w:r w:rsidRPr="077B5CBB">
              <w:rPr>
                <w:rFonts w:ascii="Arial" w:hAnsi="Arial" w:cs="Arial"/>
                <w:sz w:val="22"/>
                <w:szCs w:val="22"/>
              </w:rPr>
              <w:t xml:space="preserve"> </w:t>
            </w:r>
          </w:p>
        </w:tc>
        <w:tc>
          <w:tcPr>
            <w:tcW w:w="6297" w:type="dxa"/>
          </w:tcPr>
          <w:p w14:paraId="3E83227C" w14:textId="28963ACC" w:rsidR="00992E96" w:rsidRPr="00B27F61" w:rsidRDefault="077B5CBB" w:rsidP="077B5CBB">
            <w:pPr>
              <w:pStyle w:val="MainText"/>
              <w:spacing w:before="120" w:line="240" w:lineRule="auto"/>
              <w:jc w:val="both"/>
              <w:rPr>
                <w:rFonts w:ascii="Arial" w:hAnsi="Arial" w:cs="Arial"/>
                <w:sz w:val="22"/>
                <w:szCs w:val="22"/>
              </w:rPr>
            </w:pPr>
            <w:r w:rsidRPr="077B5CBB">
              <w:rPr>
                <w:rFonts w:ascii="Arial" w:hAnsi="Arial" w:cs="Arial"/>
                <w:sz w:val="22"/>
                <w:szCs w:val="22"/>
              </w:rPr>
              <w:t>Sarah Pickup</w:t>
            </w:r>
          </w:p>
        </w:tc>
      </w:tr>
      <w:tr w:rsidR="00992E96" w:rsidRPr="00B27F61" w14:paraId="3E832280" w14:textId="77777777" w:rsidTr="077B5CBB">
        <w:tc>
          <w:tcPr>
            <w:tcW w:w="2774" w:type="dxa"/>
          </w:tcPr>
          <w:p w14:paraId="3E83227E" w14:textId="77777777" w:rsidR="00992E96" w:rsidRPr="00B27F61" w:rsidRDefault="077B5CBB" w:rsidP="077B5CBB">
            <w:pPr>
              <w:pStyle w:val="MainText"/>
              <w:spacing w:before="120" w:line="240" w:lineRule="auto"/>
              <w:jc w:val="both"/>
              <w:rPr>
                <w:rFonts w:ascii="Arial" w:hAnsi="Arial" w:cs="Arial"/>
                <w:b/>
                <w:bCs/>
                <w:sz w:val="22"/>
                <w:szCs w:val="22"/>
              </w:rPr>
            </w:pPr>
            <w:r w:rsidRPr="077B5CBB">
              <w:rPr>
                <w:rFonts w:ascii="Arial" w:hAnsi="Arial" w:cs="Arial"/>
                <w:b/>
                <w:bCs/>
                <w:sz w:val="22"/>
                <w:szCs w:val="22"/>
              </w:rPr>
              <w:t>Position:</w:t>
            </w:r>
          </w:p>
        </w:tc>
        <w:tc>
          <w:tcPr>
            <w:tcW w:w="6297" w:type="dxa"/>
          </w:tcPr>
          <w:p w14:paraId="3E83227F" w14:textId="194A030A" w:rsidR="00992E96" w:rsidRPr="00B27F61" w:rsidRDefault="077B5CBB" w:rsidP="077B5CBB">
            <w:pPr>
              <w:pStyle w:val="MainText"/>
              <w:spacing w:before="120" w:line="240" w:lineRule="auto"/>
              <w:jc w:val="both"/>
              <w:rPr>
                <w:rFonts w:ascii="Arial" w:hAnsi="Arial" w:cs="Arial"/>
                <w:sz w:val="22"/>
                <w:szCs w:val="22"/>
              </w:rPr>
            </w:pPr>
            <w:r w:rsidRPr="077B5CBB">
              <w:rPr>
                <w:rFonts w:ascii="Arial" w:hAnsi="Arial" w:cs="Arial"/>
                <w:sz w:val="22"/>
                <w:szCs w:val="22"/>
              </w:rPr>
              <w:t>Deputy Chief Executive</w:t>
            </w:r>
          </w:p>
        </w:tc>
      </w:tr>
      <w:tr w:rsidR="00992E96" w:rsidRPr="00B27F61" w14:paraId="3E832283" w14:textId="77777777" w:rsidTr="077B5CBB">
        <w:tc>
          <w:tcPr>
            <w:tcW w:w="2774" w:type="dxa"/>
          </w:tcPr>
          <w:p w14:paraId="3E832281" w14:textId="77777777" w:rsidR="00992E96" w:rsidRPr="00B27F61" w:rsidRDefault="077B5CBB" w:rsidP="077B5CBB">
            <w:pPr>
              <w:pStyle w:val="MainText"/>
              <w:spacing w:before="120" w:line="240" w:lineRule="auto"/>
              <w:jc w:val="both"/>
              <w:rPr>
                <w:rFonts w:ascii="Arial" w:hAnsi="Arial" w:cs="Arial"/>
                <w:b/>
                <w:bCs/>
                <w:sz w:val="22"/>
                <w:szCs w:val="22"/>
              </w:rPr>
            </w:pPr>
            <w:r w:rsidRPr="077B5CBB">
              <w:rPr>
                <w:rFonts w:ascii="Arial" w:hAnsi="Arial" w:cs="Arial"/>
                <w:b/>
                <w:bCs/>
                <w:sz w:val="22"/>
                <w:szCs w:val="22"/>
              </w:rPr>
              <w:t>Phone no:</w:t>
            </w:r>
          </w:p>
        </w:tc>
        <w:tc>
          <w:tcPr>
            <w:tcW w:w="6297" w:type="dxa"/>
          </w:tcPr>
          <w:p w14:paraId="3E832282" w14:textId="00408AF2" w:rsidR="00992E96" w:rsidRPr="00B27F61" w:rsidRDefault="077B5CBB" w:rsidP="077B5CBB">
            <w:pPr>
              <w:pStyle w:val="MainText"/>
              <w:spacing w:before="120" w:line="240" w:lineRule="auto"/>
              <w:jc w:val="both"/>
              <w:rPr>
                <w:rFonts w:ascii="Arial" w:hAnsi="Arial" w:cs="Arial"/>
                <w:sz w:val="22"/>
                <w:szCs w:val="22"/>
              </w:rPr>
            </w:pPr>
            <w:r w:rsidRPr="077B5CBB">
              <w:rPr>
                <w:rFonts w:ascii="Arial" w:hAnsi="Arial" w:cs="Arial"/>
                <w:sz w:val="22"/>
                <w:szCs w:val="22"/>
              </w:rPr>
              <w:t>020 7664 3141</w:t>
            </w:r>
          </w:p>
        </w:tc>
      </w:tr>
      <w:tr w:rsidR="00992E96" w:rsidRPr="00B27F61" w14:paraId="3E832286" w14:textId="77777777" w:rsidTr="077B5CBB">
        <w:trPr>
          <w:trHeight w:val="507"/>
        </w:trPr>
        <w:tc>
          <w:tcPr>
            <w:tcW w:w="2774" w:type="dxa"/>
          </w:tcPr>
          <w:p w14:paraId="3E832284" w14:textId="77777777" w:rsidR="00992E96" w:rsidRPr="00B27F61" w:rsidRDefault="077B5CBB" w:rsidP="077B5CBB">
            <w:pPr>
              <w:pStyle w:val="MainText"/>
              <w:spacing w:before="120" w:line="240" w:lineRule="auto"/>
              <w:jc w:val="both"/>
              <w:rPr>
                <w:rFonts w:ascii="Arial" w:hAnsi="Arial" w:cs="Arial"/>
                <w:b/>
                <w:bCs/>
                <w:sz w:val="22"/>
                <w:szCs w:val="22"/>
              </w:rPr>
            </w:pPr>
            <w:r w:rsidRPr="077B5CBB">
              <w:rPr>
                <w:rFonts w:ascii="Arial" w:hAnsi="Arial" w:cs="Arial"/>
                <w:b/>
                <w:bCs/>
                <w:sz w:val="22"/>
                <w:szCs w:val="22"/>
              </w:rPr>
              <w:t>Email:</w:t>
            </w:r>
          </w:p>
        </w:tc>
        <w:tc>
          <w:tcPr>
            <w:tcW w:w="6297" w:type="dxa"/>
          </w:tcPr>
          <w:p w14:paraId="3E832285" w14:textId="3F506B4C" w:rsidR="00992E96" w:rsidRPr="009908FA" w:rsidRDefault="001B1497" w:rsidP="009908FA">
            <w:pPr>
              <w:pStyle w:val="MainText"/>
              <w:spacing w:before="120" w:line="240" w:lineRule="auto"/>
              <w:jc w:val="both"/>
              <w:rPr>
                <w:rFonts w:ascii="Arial" w:hAnsi="Arial" w:cs="Arial"/>
                <w:sz w:val="22"/>
                <w:szCs w:val="22"/>
              </w:rPr>
            </w:pPr>
            <w:hyperlink r:id="rId11" w:history="1">
              <w:r w:rsidR="009908FA" w:rsidRPr="009908FA">
                <w:rPr>
                  <w:rStyle w:val="Hyperlink"/>
                  <w:rFonts w:ascii="Arial" w:hAnsi="Arial" w:cs="Arial"/>
                  <w:sz w:val="22"/>
                  <w:szCs w:val="22"/>
                </w:rPr>
                <w:t>sarah.pickup@local.gov.uk</w:t>
              </w:r>
            </w:hyperlink>
            <w:r w:rsidR="009908FA" w:rsidRPr="009908FA">
              <w:rPr>
                <w:rStyle w:val="Hyperlink"/>
                <w:rFonts w:ascii="Arial" w:hAnsi="Arial" w:cs="Arial"/>
                <w:sz w:val="22"/>
                <w:szCs w:val="22"/>
              </w:rPr>
              <w:t xml:space="preserve"> </w:t>
            </w:r>
            <w:r w:rsidR="00E81B2D" w:rsidRPr="009908FA">
              <w:rPr>
                <w:rFonts w:ascii="Arial" w:hAnsi="Arial" w:cs="Arial"/>
                <w:sz w:val="22"/>
                <w:szCs w:val="22"/>
              </w:rPr>
              <w:t xml:space="preserve"> </w:t>
            </w:r>
            <w:r w:rsidR="002048CA" w:rsidRPr="009908FA">
              <w:rPr>
                <w:rFonts w:ascii="Arial" w:hAnsi="Arial" w:cs="Arial"/>
                <w:sz w:val="22"/>
                <w:szCs w:val="22"/>
              </w:rPr>
              <w:t xml:space="preserve"> </w:t>
            </w:r>
          </w:p>
        </w:tc>
      </w:tr>
    </w:tbl>
    <w:p w14:paraId="3E832288" w14:textId="07E701D5" w:rsidR="00992E96" w:rsidRDefault="00992E96" w:rsidP="007977F7">
      <w:pPr>
        <w:jc w:val="both"/>
        <w:rPr>
          <w:rFonts w:ascii="Arial" w:hAnsi="Arial" w:cs="Arial"/>
          <w:szCs w:val="22"/>
        </w:rPr>
        <w:sectPr w:rsidR="00992E96" w:rsidSect="00765850">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r w:rsidRPr="00B27F61">
        <w:rPr>
          <w:rFonts w:ascii="Arial" w:hAnsi="Arial" w:cs="Arial"/>
          <w:szCs w:val="22"/>
        </w:rPr>
        <w:br w:type="page"/>
      </w:r>
    </w:p>
    <w:p w14:paraId="7ED72F85" w14:textId="222315E8" w:rsidR="00463758" w:rsidRPr="00BB212B" w:rsidRDefault="077B5CBB" w:rsidP="077B5CBB">
      <w:pPr>
        <w:pStyle w:val="LGAItemNoHeading"/>
        <w:spacing w:before="240"/>
        <w:rPr>
          <w:rFonts w:ascii="Arial" w:hAnsi="Arial" w:cs="Arial"/>
          <w:sz w:val="28"/>
          <w:szCs w:val="28"/>
        </w:rPr>
      </w:pPr>
      <w:bookmarkStart w:id="1" w:name="MainHeading2"/>
      <w:bookmarkEnd w:id="1"/>
      <w:r w:rsidRPr="077B5CBB">
        <w:rPr>
          <w:rFonts w:ascii="Arial" w:hAnsi="Arial" w:cs="Arial"/>
          <w:sz w:val="28"/>
          <w:szCs w:val="28"/>
        </w:rPr>
        <w:lastRenderedPageBreak/>
        <w:t>Fair Funding Review and Business Rates Retention Update</w:t>
      </w:r>
    </w:p>
    <w:p w14:paraId="22317F66" w14:textId="77777777" w:rsidR="00C35DFE" w:rsidRDefault="00C35DFE" w:rsidP="077B5CBB">
      <w:pPr>
        <w:rPr>
          <w:rFonts w:ascii="Arial" w:hAnsi="Arial" w:cs="Arial"/>
          <w:b/>
          <w:bCs/>
        </w:rPr>
      </w:pPr>
    </w:p>
    <w:p w14:paraId="6CE9F38A" w14:textId="62F5D26A" w:rsidR="00765850" w:rsidRPr="002048CA" w:rsidRDefault="077B5CBB" w:rsidP="077B5CBB">
      <w:pPr>
        <w:rPr>
          <w:rFonts w:ascii="Arial" w:hAnsi="Arial" w:cs="Arial"/>
          <w:b/>
          <w:bCs/>
        </w:rPr>
      </w:pPr>
      <w:r w:rsidRPr="077B5CBB">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17BD4A99" w14:textId="1921D02A" w:rsidR="00654AFE" w:rsidRDefault="00654AFE" w:rsidP="077B5CBB">
      <w:pPr>
        <w:pStyle w:val="MainText"/>
        <w:numPr>
          <w:ilvl w:val="0"/>
          <w:numId w:val="1"/>
        </w:numPr>
        <w:spacing w:line="240" w:lineRule="auto"/>
        <w:ind w:left="0"/>
        <w:rPr>
          <w:rFonts w:ascii="Arial" w:hAnsi="Arial" w:cs="Arial"/>
        </w:rPr>
      </w:pPr>
      <w:r w:rsidRPr="077B5CBB">
        <w:rPr>
          <w:rFonts w:ascii="Arial" w:hAnsi="Arial" w:cs="Arial"/>
        </w:rPr>
        <w:t xml:space="preserve">This report updates members on progress on the Fair Funding Review and Business Rates Retention reform since the </w:t>
      </w:r>
      <w:r>
        <w:rPr>
          <w:rFonts w:ascii="Arial" w:hAnsi="Arial" w:cs="Arial"/>
        </w:rPr>
        <w:t>October</w:t>
      </w:r>
      <w:r w:rsidRPr="077B5CBB">
        <w:rPr>
          <w:rFonts w:ascii="Arial" w:hAnsi="Arial" w:cs="Arial"/>
        </w:rPr>
        <w:t xml:space="preserve"> meeting of the </w:t>
      </w:r>
      <w:r w:rsidR="00C35DFE">
        <w:rPr>
          <w:rFonts w:ascii="Arial" w:hAnsi="Arial" w:cs="Arial"/>
        </w:rPr>
        <w:t>LGA Executive</w:t>
      </w:r>
      <w:r w:rsidRPr="077B5CBB">
        <w:rPr>
          <w:rFonts w:ascii="Arial" w:hAnsi="Arial" w:cs="Arial"/>
        </w:rPr>
        <w:t>.</w:t>
      </w:r>
      <w:r>
        <w:rPr>
          <w:rFonts w:ascii="Arial" w:hAnsi="Arial" w:cs="Arial"/>
        </w:rPr>
        <w:t xml:space="preserve"> </w:t>
      </w:r>
    </w:p>
    <w:p w14:paraId="5B3E7B93" w14:textId="77777777" w:rsidR="00654AFE" w:rsidRDefault="00654AFE" w:rsidP="00654AFE">
      <w:pPr>
        <w:pStyle w:val="MainText"/>
        <w:spacing w:line="240" w:lineRule="auto"/>
        <w:rPr>
          <w:rFonts w:ascii="Arial" w:hAnsi="Arial" w:cs="Arial"/>
        </w:rPr>
      </w:pPr>
    </w:p>
    <w:p w14:paraId="54DD6EBB" w14:textId="266C4220" w:rsidR="00AF7F6D" w:rsidRPr="002E3EC0" w:rsidRDefault="00C35DFE" w:rsidP="077B5CBB">
      <w:pPr>
        <w:pStyle w:val="MainText"/>
        <w:numPr>
          <w:ilvl w:val="0"/>
          <w:numId w:val="1"/>
        </w:numPr>
        <w:spacing w:line="240" w:lineRule="auto"/>
        <w:ind w:left="0"/>
        <w:rPr>
          <w:rFonts w:ascii="Arial" w:hAnsi="Arial" w:cs="Arial"/>
        </w:rPr>
      </w:pPr>
      <w:r>
        <w:rPr>
          <w:rFonts w:ascii="Arial" w:hAnsi="Arial" w:cs="Arial"/>
        </w:rPr>
        <w:t>LGA Executive</w:t>
      </w:r>
      <w:r w:rsidR="00F91C7D">
        <w:rPr>
          <w:rFonts w:ascii="Arial" w:hAnsi="Arial" w:cs="Arial"/>
        </w:rPr>
        <w:t xml:space="preserve"> are invited to consider a number of Fair Funding Review policy positions developed by the Business Rates Retention and Fair Funding Review Task and Finish Group which could form part of the LGA’s response to the forthcoming consultation on the Fair Funding Review.</w:t>
      </w:r>
    </w:p>
    <w:p w14:paraId="033A0CBE" w14:textId="747E1B18" w:rsidR="002E3EC0" w:rsidRDefault="002E3EC0" w:rsidP="002E3EC0">
      <w:pPr>
        <w:pStyle w:val="MainText"/>
        <w:spacing w:line="240" w:lineRule="auto"/>
        <w:rPr>
          <w:rFonts w:ascii="Arial" w:hAnsi="Arial" w:cs="Arial"/>
          <w:szCs w:val="22"/>
        </w:rPr>
      </w:pPr>
    </w:p>
    <w:p w14:paraId="146EAA0B" w14:textId="68C317F1" w:rsidR="002E3EC0" w:rsidRPr="0097363F" w:rsidRDefault="077B5CBB" w:rsidP="077B5CBB">
      <w:pPr>
        <w:pStyle w:val="MainText"/>
        <w:numPr>
          <w:ilvl w:val="0"/>
          <w:numId w:val="1"/>
        </w:numPr>
        <w:spacing w:line="240" w:lineRule="auto"/>
        <w:ind w:left="0"/>
        <w:rPr>
          <w:rFonts w:ascii="Arial" w:hAnsi="Arial" w:cs="Arial"/>
        </w:rPr>
      </w:pPr>
      <w:r w:rsidRPr="077B5CBB">
        <w:rPr>
          <w:rFonts w:ascii="Arial" w:hAnsi="Arial" w:cs="Arial"/>
        </w:rPr>
        <w:t>The work on further Business Rates Retention and the Fair Funding Review is being considered by the LGA’s Task and Finish Group prior to, or alongside, consideration by Leadership Board and Executive.</w:t>
      </w:r>
    </w:p>
    <w:p w14:paraId="68389008" w14:textId="77777777" w:rsidR="00D91E1D" w:rsidRDefault="00D91E1D" w:rsidP="00DC1101">
      <w:pPr>
        <w:pStyle w:val="ListParagraph"/>
        <w:ind w:left="360"/>
        <w:rPr>
          <w:rFonts w:ascii="Arial" w:hAnsi="Arial" w:cs="Arial"/>
          <w:szCs w:val="22"/>
        </w:rPr>
      </w:pPr>
    </w:p>
    <w:p w14:paraId="71B56B2B" w14:textId="77777777" w:rsidR="004819CE" w:rsidRDefault="077B5CBB" w:rsidP="004819CE">
      <w:pPr>
        <w:rPr>
          <w:rFonts w:ascii="Arial" w:hAnsi="Arial" w:cs="Arial"/>
          <w:b/>
          <w:bCs/>
        </w:rPr>
      </w:pPr>
      <w:r w:rsidRPr="077B5CBB">
        <w:rPr>
          <w:rFonts w:ascii="Arial" w:hAnsi="Arial" w:cs="Arial"/>
          <w:b/>
          <w:bCs/>
        </w:rPr>
        <w:t xml:space="preserve">Fair Funding Review </w:t>
      </w:r>
    </w:p>
    <w:p w14:paraId="5DFFDC97" w14:textId="77777777" w:rsidR="004819CE" w:rsidRDefault="004819CE" w:rsidP="004819CE">
      <w:pPr>
        <w:rPr>
          <w:rFonts w:ascii="Arial" w:hAnsi="Arial" w:cs="Arial"/>
          <w:b/>
          <w:bCs/>
        </w:rPr>
      </w:pPr>
    </w:p>
    <w:p w14:paraId="3627B6E7" w14:textId="57DD407D" w:rsidR="004819CE" w:rsidRPr="004819CE" w:rsidRDefault="004819CE" w:rsidP="004819CE">
      <w:pPr>
        <w:rPr>
          <w:rFonts w:ascii="Arial" w:hAnsi="Arial" w:cs="Arial"/>
          <w:b/>
          <w:bCs/>
        </w:rPr>
      </w:pPr>
      <w:r w:rsidRPr="00072C2E">
        <w:rPr>
          <w:rFonts w:ascii="Arial" w:hAnsi="Arial" w:cs="Arial"/>
          <w:szCs w:val="22"/>
          <w:u w:val="single"/>
        </w:rPr>
        <w:t>Fair Funding Review technical working group update</w:t>
      </w:r>
    </w:p>
    <w:p w14:paraId="2CA0911D" w14:textId="77777777" w:rsidR="004819CE" w:rsidRPr="006F5A0F" w:rsidRDefault="004819CE" w:rsidP="004819CE">
      <w:pPr>
        <w:keepNext/>
        <w:rPr>
          <w:rFonts w:ascii="Arial" w:hAnsi="Arial" w:cs="Arial"/>
          <w:szCs w:val="22"/>
          <w:highlight w:val="yellow"/>
          <w:u w:val="single"/>
        </w:rPr>
      </w:pPr>
    </w:p>
    <w:p w14:paraId="43AC8CB8" w14:textId="30F4A857" w:rsidR="004819CE" w:rsidRPr="004819CE" w:rsidRDefault="004819CE" w:rsidP="004819CE">
      <w:pPr>
        <w:pStyle w:val="MainText"/>
        <w:numPr>
          <w:ilvl w:val="0"/>
          <w:numId w:val="1"/>
        </w:numPr>
        <w:spacing w:line="240" w:lineRule="auto"/>
        <w:ind w:left="0"/>
        <w:rPr>
          <w:rFonts w:ascii="Arial" w:hAnsi="Arial" w:cs="Arial"/>
        </w:rPr>
      </w:pPr>
      <w:r w:rsidRPr="004819CE">
        <w:rPr>
          <w:rFonts w:ascii="Arial" w:hAnsi="Arial" w:cs="Arial"/>
        </w:rPr>
        <w:t>Th</w:t>
      </w:r>
      <w:r w:rsidR="00C641F8">
        <w:rPr>
          <w:rFonts w:ascii="Arial" w:hAnsi="Arial" w:cs="Arial"/>
        </w:rPr>
        <w:t>e</w:t>
      </w:r>
      <w:r w:rsidR="00C954D2">
        <w:rPr>
          <w:rFonts w:ascii="Arial" w:hAnsi="Arial" w:cs="Arial"/>
        </w:rPr>
        <w:t>r</w:t>
      </w:r>
      <w:r w:rsidR="00C641F8">
        <w:rPr>
          <w:rFonts w:ascii="Arial" w:hAnsi="Arial" w:cs="Arial"/>
        </w:rPr>
        <w:t>e have</w:t>
      </w:r>
      <w:r w:rsidR="00C954D2">
        <w:rPr>
          <w:rFonts w:ascii="Arial" w:hAnsi="Arial" w:cs="Arial"/>
        </w:rPr>
        <w:t xml:space="preserve"> been no meeting</w:t>
      </w:r>
      <w:r w:rsidR="00D038A9">
        <w:rPr>
          <w:rFonts w:ascii="Arial" w:hAnsi="Arial" w:cs="Arial"/>
        </w:rPr>
        <w:t>s</w:t>
      </w:r>
      <w:r w:rsidR="00C954D2">
        <w:rPr>
          <w:rFonts w:ascii="Arial" w:hAnsi="Arial" w:cs="Arial"/>
        </w:rPr>
        <w:t xml:space="preserve"> of the </w:t>
      </w:r>
      <w:r w:rsidR="00C641F8">
        <w:rPr>
          <w:rFonts w:ascii="Arial" w:hAnsi="Arial" w:cs="Arial"/>
        </w:rPr>
        <w:t xml:space="preserve">joint MHCLG / LGA </w:t>
      </w:r>
      <w:r w:rsidR="00C954D2">
        <w:rPr>
          <w:rFonts w:ascii="Arial" w:hAnsi="Arial" w:cs="Arial"/>
        </w:rPr>
        <w:t xml:space="preserve">Fair Funding Review Technical Working Group since the last meeting of Leadership Board.  </w:t>
      </w:r>
      <w:r w:rsidRPr="004819CE">
        <w:rPr>
          <w:rFonts w:ascii="Arial" w:hAnsi="Arial" w:cs="Arial"/>
        </w:rPr>
        <w:t xml:space="preserve">MHCLG officials </w:t>
      </w:r>
      <w:r w:rsidR="00C954D2">
        <w:rPr>
          <w:rFonts w:ascii="Arial" w:hAnsi="Arial" w:cs="Arial"/>
        </w:rPr>
        <w:t xml:space="preserve">are </w:t>
      </w:r>
      <w:r w:rsidRPr="004819CE">
        <w:rPr>
          <w:rFonts w:ascii="Arial" w:hAnsi="Arial" w:cs="Arial"/>
        </w:rPr>
        <w:t xml:space="preserve">focussing on publishing the </w:t>
      </w:r>
      <w:r w:rsidR="00C954D2">
        <w:rPr>
          <w:rFonts w:ascii="Arial" w:hAnsi="Arial" w:cs="Arial"/>
        </w:rPr>
        <w:t xml:space="preserve">Fair Funding Review </w:t>
      </w:r>
      <w:r w:rsidRPr="004819CE">
        <w:rPr>
          <w:rFonts w:ascii="Arial" w:hAnsi="Arial" w:cs="Arial"/>
        </w:rPr>
        <w:t xml:space="preserve">consultation and delivering the </w:t>
      </w:r>
      <w:r w:rsidR="00C954D2">
        <w:rPr>
          <w:rFonts w:ascii="Arial" w:hAnsi="Arial" w:cs="Arial"/>
        </w:rPr>
        <w:t xml:space="preserve">2019/20 provisional </w:t>
      </w:r>
      <w:r w:rsidRPr="004819CE">
        <w:rPr>
          <w:rFonts w:ascii="Arial" w:hAnsi="Arial" w:cs="Arial"/>
        </w:rPr>
        <w:t>local government finance settlement.  When the technical working group reconvenes in 2019, items for consideration are likely to include:</w:t>
      </w:r>
    </w:p>
    <w:p w14:paraId="4D9F4C21" w14:textId="77777777" w:rsidR="004819CE" w:rsidRPr="00195DE1" w:rsidRDefault="004819CE" w:rsidP="004819CE">
      <w:pPr>
        <w:rPr>
          <w:rFonts w:ascii="Arial" w:hAnsi="Arial" w:cs="Arial"/>
          <w:szCs w:val="22"/>
        </w:rPr>
      </w:pPr>
    </w:p>
    <w:p w14:paraId="73386D4B" w14:textId="2CE22021" w:rsidR="004819CE" w:rsidRPr="00195DE1" w:rsidRDefault="004819CE" w:rsidP="00791C1A">
      <w:pPr>
        <w:pStyle w:val="ListParagraph"/>
        <w:numPr>
          <w:ilvl w:val="1"/>
          <w:numId w:val="1"/>
        </w:numPr>
        <w:ind w:left="633" w:hanging="633"/>
        <w:rPr>
          <w:rFonts w:ascii="Arial" w:hAnsi="Arial" w:cs="Arial"/>
          <w:szCs w:val="22"/>
        </w:rPr>
      </w:pPr>
      <w:r w:rsidRPr="00195DE1">
        <w:rPr>
          <w:rFonts w:ascii="Arial" w:hAnsi="Arial" w:cs="Arial"/>
          <w:szCs w:val="22"/>
        </w:rPr>
        <w:t xml:space="preserve">A review of the responses to the consultation, including considerations behind the choice of </w:t>
      </w:r>
      <w:r w:rsidR="00D038A9">
        <w:rPr>
          <w:rFonts w:ascii="Arial" w:hAnsi="Arial" w:cs="Arial"/>
          <w:szCs w:val="22"/>
        </w:rPr>
        <w:t>how the</w:t>
      </w:r>
      <w:r w:rsidR="00D038A9" w:rsidRPr="00195DE1">
        <w:rPr>
          <w:rFonts w:ascii="Arial" w:hAnsi="Arial" w:cs="Arial"/>
          <w:szCs w:val="22"/>
        </w:rPr>
        <w:t xml:space="preserve"> </w:t>
      </w:r>
      <w:r w:rsidRPr="00195DE1">
        <w:rPr>
          <w:rFonts w:ascii="Arial" w:hAnsi="Arial" w:cs="Arial"/>
          <w:szCs w:val="22"/>
        </w:rPr>
        <w:t>council tax level</w:t>
      </w:r>
      <w:r w:rsidR="00D038A9">
        <w:rPr>
          <w:rFonts w:ascii="Arial" w:hAnsi="Arial" w:cs="Arial"/>
          <w:szCs w:val="22"/>
        </w:rPr>
        <w:t xml:space="preserve"> which will be used</w:t>
      </w:r>
      <w:r w:rsidRPr="00195DE1">
        <w:rPr>
          <w:rFonts w:ascii="Arial" w:hAnsi="Arial" w:cs="Arial"/>
          <w:szCs w:val="22"/>
        </w:rPr>
        <w:t xml:space="preserve"> in the resources </w:t>
      </w:r>
      <w:r w:rsidR="00D038A9" w:rsidRPr="00195DE1">
        <w:rPr>
          <w:rFonts w:ascii="Arial" w:hAnsi="Arial" w:cs="Arial"/>
          <w:szCs w:val="22"/>
        </w:rPr>
        <w:t>adjustmen</w:t>
      </w:r>
      <w:r w:rsidR="00D038A9">
        <w:rPr>
          <w:rFonts w:ascii="Arial" w:hAnsi="Arial" w:cs="Arial"/>
          <w:szCs w:val="22"/>
        </w:rPr>
        <w:t>t will be determined</w:t>
      </w:r>
      <w:r w:rsidRPr="00195DE1">
        <w:rPr>
          <w:rFonts w:ascii="Arial" w:hAnsi="Arial" w:cs="Arial"/>
          <w:szCs w:val="22"/>
        </w:rPr>
        <w:t>; and</w:t>
      </w:r>
    </w:p>
    <w:p w14:paraId="56C5D83F" w14:textId="77777777" w:rsidR="004819CE" w:rsidRPr="00195DE1" w:rsidRDefault="004819CE" w:rsidP="00791C1A">
      <w:pPr>
        <w:pStyle w:val="ListParagraph"/>
        <w:ind w:left="633" w:hanging="633"/>
        <w:rPr>
          <w:rFonts w:ascii="Arial" w:hAnsi="Arial" w:cs="Arial"/>
          <w:szCs w:val="22"/>
        </w:rPr>
      </w:pPr>
    </w:p>
    <w:p w14:paraId="7F05C86B" w14:textId="77777777" w:rsidR="004819CE" w:rsidRPr="00195DE1" w:rsidRDefault="004819CE" w:rsidP="00791C1A">
      <w:pPr>
        <w:pStyle w:val="ListParagraph"/>
        <w:numPr>
          <w:ilvl w:val="1"/>
          <w:numId w:val="1"/>
        </w:numPr>
        <w:ind w:left="633" w:hanging="633"/>
        <w:rPr>
          <w:rFonts w:ascii="Arial" w:hAnsi="Arial" w:cs="Arial"/>
          <w:szCs w:val="22"/>
        </w:rPr>
      </w:pPr>
      <w:r w:rsidRPr="00195DE1">
        <w:rPr>
          <w:rFonts w:ascii="Arial" w:hAnsi="Arial" w:cs="Arial"/>
          <w:szCs w:val="22"/>
        </w:rPr>
        <w:t xml:space="preserve">A more detailed consideration of various options on transition mechanisms. </w:t>
      </w:r>
    </w:p>
    <w:p w14:paraId="0395B98C" w14:textId="77777777" w:rsidR="00B27ADD" w:rsidRDefault="00B27ADD" w:rsidP="004819CE">
      <w:pPr>
        <w:rPr>
          <w:rFonts w:ascii="Arial" w:hAnsi="Arial" w:cs="Arial"/>
          <w:szCs w:val="22"/>
          <w:u w:val="single"/>
        </w:rPr>
      </w:pPr>
    </w:p>
    <w:p w14:paraId="79CB32C0" w14:textId="77777777" w:rsidR="004819CE" w:rsidRPr="00195DE1" w:rsidRDefault="004819CE" w:rsidP="004819CE">
      <w:pPr>
        <w:rPr>
          <w:rFonts w:ascii="Arial" w:hAnsi="Arial" w:cs="Arial"/>
          <w:szCs w:val="22"/>
          <w:u w:val="single"/>
        </w:rPr>
      </w:pPr>
      <w:r w:rsidRPr="00195DE1">
        <w:rPr>
          <w:rFonts w:ascii="Arial" w:hAnsi="Arial" w:cs="Arial"/>
          <w:szCs w:val="22"/>
          <w:u w:val="single"/>
        </w:rPr>
        <w:t>The Government’s next steps for the Fair Funding Review</w:t>
      </w:r>
    </w:p>
    <w:p w14:paraId="0366E863" w14:textId="77777777" w:rsidR="004819CE" w:rsidRPr="00195DE1" w:rsidRDefault="004819CE" w:rsidP="004819CE">
      <w:pPr>
        <w:rPr>
          <w:rFonts w:ascii="Arial" w:hAnsi="Arial" w:cs="Arial"/>
          <w:szCs w:val="22"/>
          <w:u w:val="single"/>
        </w:rPr>
      </w:pPr>
    </w:p>
    <w:p w14:paraId="24A09316" w14:textId="44952AB2" w:rsidR="004819CE" w:rsidRPr="004819CE" w:rsidRDefault="0048187F" w:rsidP="0048187F">
      <w:pPr>
        <w:pStyle w:val="MainText"/>
        <w:numPr>
          <w:ilvl w:val="0"/>
          <w:numId w:val="1"/>
        </w:numPr>
        <w:spacing w:line="240" w:lineRule="auto"/>
        <w:ind w:left="0"/>
        <w:rPr>
          <w:rFonts w:ascii="Arial" w:hAnsi="Arial" w:cs="Arial"/>
        </w:rPr>
      </w:pPr>
      <w:r w:rsidRPr="0048187F">
        <w:rPr>
          <w:rFonts w:ascii="Arial" w:hAnsi="Arial" w:cs="Arial"/>
        </w:rPr>
        <w:t>As set out in previous meetings to Leadership Board and Executive, t</w:t>
      </w:r>
      <w:r w:rsidR="004819CE" w:rsidRPr="0048187F">
        <w:rPr>
          <w:rFonts w:ascii="Arial" w:hAnsi="Arial" w:cs="Arial"/>
        </w:rPr>
        <w:t xml:space="preserve">he Government’s work is building towards a wider consultation on the Fair Funding Review. </w:t>
      </w:r>
      <w:r w:rsidRPr="0048187F">
        <w:rPr>
          <w:rFonts w:ascii="Arial" w:hAnsi="Arial" w:cs="Arial"/>
        </w:rPr>
        <w:t>S</w:t>
      </w:r>
      <w:r w:rsidR="004819CE" w:rsidRPr="004819CE">
        <w:rPr>
          <w:rFonts w:ascii="Arial" w:hAnsi="Arial" w:cs="Arial"/>
        </w:rPr>
        <w:t xml:space="preserve">ubject to Ministerial decision the scope of the consultation, including the extent to which the Government </w:t>
      </w:r>
      <w:r w:rsidR="00405692">
        <w:rPr>
          <w:rFonts w:ascii="Arial" w:hAnsi="Arial" w:cs="Arial"/>
        </w:rPr>
        <w:t>might</w:t>
      </w:r>
      <w:r w:rsidR="004819CE" w:rsidRPr="004819CE">
        <w:rPr>
          <w:rFonts w:ascii="Arial" w:hAnsi="Arial" w:cs="Arial"/>
        </w:rPr>
        <w:t xml:space="preserve"> identify preferred options at this stage</w:t>
      </w:r>
      <w:r w:rsidR="000F5264">
        <w:rPr>
          <w:rFonts w:ascii="Arial" w:hAnsi="Arial" w:cs="Arial"/>
        </w:rPr>
        <w:t>,</w:t>
      </w:r>
      <w:r w:rsidR="004819CE" w:rsidRPr="004819CE">
        <w:rPr>
          <w:rFonts w:ascii="Arial" w:hAnsi="Arial" w:cs="Arial"/>
        </w:rPr>
        <w:t xml:space="preserve"> the consultation might cover:</w:t>
      </w:r>
    </w:p>
    <w:p w14:paraId="3F376D49" w14:textId="77777777" w:rsidR="004819CE" w:rsidRPr="00195DE1" w:rsidRDefault="004819CE" w:rsidP="004819CE">
      <w:pPr>
        <w:pStyle w:val="ListParagraph"/>
        <w:rPr>
          <w:rFonts w:ascii="Arial" w:hAnsi="Arial" w:cs="Arial"/>
          <w:szCs w:val="22"/>
        </w:rPr>
      </w:pPr>
    </w:p>
    <w:p w14:paraId="4C686F7F" w14:textId="508A4203" w:rsidR="004819CE" w:rsidRPr="00195DE1" w:rsidRDefault="0048187F" w:rsidP="0048187F">
      <w:pPr>
        <w:pStyle w:val="ListParagraph"/>
        <w:numPr>
          <w:ilvl w:val="1"/>
          <w:numId w:val="1"/>
        </w:numPr>
        <w:ind w:left="633" w:hanging="633"/>
        <w:rPr>
          <w:rFonts w:ascii="Arial" w:hAnsi="Arial" w:cs="Arial"/>
          <w:szCs w:val="22"/>
        </w:rPr>
      </w:pPr>
      <w:r>
        <w:rPr>
          <w:rFonts w:ascii="Arial" w:hAnsi="Arial" w:cs="Arial"/>
          <w:szCs w:val="22"/>
        </w:rPr>
        <w:t>O</w:t>
      </w:r>
      <w:r w:rsidR="004819CE" w:rsidRPr="00195DE1">
        <w:rPr>
          <w:rFonts w:ascii="Arial" w:hAnsi="Arial" w:cs="Arial"/>
          <w:szCs w:val="22"/>
        </w:rPr>
        <w:t>ptions for tier-specific foundation formulas and formu</w:t>
      </w:r>
      <w:r w:rsidR="000F5264">
        <w:rPr>
          <w:rFonts w:ascii="Arial" w:hAnsi="Arial" w:cs="Arial"/>
          <w:szCs w:val="22"/>
        </w:rPr>
        <w:t>las to assess specific services;</w:t>
      </w:r>
    </w:p>
    <w:p w14:paraId="5D8A3D24" w14:textId="77777777" w:rsidR="004819CE" w:rsidRPr="00195DE1" w:rsidRDefault="004819CE" w:rsidP="000F5264">
      <w:pPr>
        <w:pStyle w:val="ListParagraph"/>
        <w:ind w:left="633"/>
        <w:rPr>
          <w:rFonts w:ascii="Arial" w:hAnsi="Arial" w:cs="Arial"/>
          <w:szCs w:val="22"/>
        </w:rPr>
      </w:pPr>
    </w:p>
    <w:p w14:paraId="1B587E66" w14:textId="77777777" w:rsidR="004819CE" w:rsidRPr="00195DE1" w:rsidRDefault="004819CE" w:rsidP="0048187F">
      <w:pPr>
        <w:pStyle w:val="ListParagraph"/>
        <w:numPr>
          <w:ilvl w:val="1"/>
          <w:numId w:val="1"/>
        </w:numPr>
        <w:ind w:left="633" w:hanging="633"/>
        <w:rPr>
          <w:rFonts w:ascii="Arial" w:hAnsi="Arial" w:cs="Arial"/>
          <w:szCs w:val="22"/>
        </w:rPr>
      </w:pPr>
      <w:r w:rsidRPr="00195DE1">
        <w:rPr>
          <w:rFonts w:ascii="Arial" w:hAnsi="Arial" w:cs="Arial"/>
          <w:szCs w:val="22"/>
        </w:rPr>
        <w:t>The leading cost drivers for inclusion in the above, and a description of proposed analytical techniques to weight them against one another;</w:t>
      </w:r>
    </w:p>
    <w:p w14:paraId="2CF5CD3F" w14:textId="77777777" w:rsidR="004819CE" w:rsidRPr="00195DE1" w:rsidRDefault="004819CE" w:rsidP="000F5264">
      <w:pPr>
        <w:pStyle w:val="ListParagraph"/>
        <w:ind w:left="633"/>
        <w:rPr>
          <w:rFonts w:ascii="Arial" w:hAnsi="Arial" w:cs="Arial"/>
          <w:szCs w:val="22"/>
        </w:rPr>
      </w:pPr>
    </w:p>
    <w:p w14:paraId="6CCFBA95" w14:textId="5B7176F2" w:rsidR="004819CE" w:rsidRPr="00195DE1" w:rsidRDefault="004819CE" w:rsidP="0048187F">
      <w:pPr>
        <w:pStyle w:val="ListParagraph"/>
        <w:numPr>
          <w:ilvl w:val="1"/>
          <w:numId w:val="1"/>
        </w:numPr>
        <w:ind w:left="633" w:hanging="633"/>
        <w:rPr>
          <w:rFonts w:ascii="Arial" w:hAnsi="Arial" w:cs="Arial"/>
          <w:szCs w:val="22"/>
        </w:rPr>
      </w:pPr>
      <w:r w:rsidRPr="00195DE1">
        <w:rPr>
          <w:rFonts w:ascii="Arial" w:hAnsi="Arial" w:cs="Arial"/>
          <w:szCs w:val="22"/>
        </w:rPr>
        <w:t>Comment</w:t>
      </w:r>
      <w:r w:rsidR="000C10AB">
        <w:rPr>
          <w:rFonts w:ascii="Arial" w:hAnsi="Arial" w:cs="Arial"/>
          <w:szCs w:val="22"/>
        </w:rPr>
        <w:t>ary on the area cost adjustment;</w:t>
      </w:r>
    </w:p>
    <w:p w14:paraId="7835D804" w14:textId="77777777" w:rsidR="004819CE" w:rsidRPr="00195DE1" w:rsidRDefault="004819CE" w:rsidP="004819CE">
      <w:pPr>
        <w:pStyle w:val="ListParagraph"/>
        <w:rPr>
          <w:rFonts w:ascii="Arial" w:hAnsi="Arial" w:cs="Arial"/>
          <w:szCs w:val="22"/>
        </w:rPr>
      </w:pPr>
    </w:p>
    <w:p w14:paraId="294F2C67" w14:textId="77777777" w:rsidR="004819CE" w:rsidRPr="00195DE1" w:rsidRDefault="004819CE" w:rsidP="00177407">
      <w:pPr>
        <w:pStyle w:val="ListParagraph"/>
        <w:numPr>
          <w:ilvl w:val="1"/>
          <w:numId w:val="1"/>
        </w:numPr>
        <w:ind w:left="633" w:hanging="633"/>
        <w:rPr>
          <w:rFonts w:ascii="Arial" w:hAnsi="Arial" w:cs="Arial"/>
          <w:szCs w:val="22"/>
        </w:rPr>
      </w:pPr>
      <w:r w:rsidRPr="00195DE1">
        <w:rPr>
          <w:rFonts w:ascii="Arial" w:hAnsi="Arial" w:cs="Arial"/>
          <w:szCs w:val="22"/>
        </w:rPr>
        <w:t>Measuring the council tax base, in particular treatment of mandatory and discretionary council tax discounts. This includes local council tax support schemes;</w:t>
      </w:r>
    </w:p>
    <w:p w14:paraId="5D674781" w14:textId="77777777" w:rsidR="004819CE" w:rsidRPr="00195DE1" w:rsidRDefault="004819CE" w:rsidP="00177407">
      <w:pPr>
        <w:pStyle w:val="ListParagraph"/>
        <w:ind w:left="633"/>
        <w:rPr>
          <w:rFonts w:ascii="Arial" w:hAnsi="Arial" w:cs="Arial"/>
          <w:szCs w:val="22"/>
        </w:rPr>
      </w:pPr>
    </w:p>
    <w:p w14:paraId="5E2F02C4" w14:textId="1726F0F4" w:rsidR="004819CE" w:rsidRPr="00195DE1" w:rsidRDefault="004819CE" w:rsidP="00177407">
      <w:pPr>
        <w:pStyle w:val="ListParagraph"/>
        <w:numPr>
          <w:ilvl w:val="1"/>
          <w:numId w:val="1"/>
        </w:numPr>
        <w:ind w:left="633" w:hanging="633"/>
        <w:rPr>
          <w:rFonts w:ascii="Arial" w:hAnsi="Arial" w:cs="Arial"/>
          <w:szCs w:val="22"/>
        </w:rPr>
      </w:pPr>
      <w:r w:rsidRPr="00195DE1">
        <w:rPr>
          <w:rFonts w:ascii="Arial" w:hAnsi="Arial" w:cs="Arial"/>
          <w:szCs w:val="22"/>
        </w:rPr>
        <w:t xml:space="preserve">The choice of notional or actual council tax levels to be used when calculating the </w:t>
      </w:r>
      <w:r w:rsidR="000C10AB">
        <w:rPr>
          <w:rFonts w:ascii="Arial" w:hAnsi="Arial" w:cs="Arial"/>
          <w:szCs w:val="22"/>
        </w:rPr>
        <w:t xml:space="preserve">resources </w:t>
      </w:r>
      <w:r w:rsidRPr="00195DE1">
        <w:rPr>
          <w:rFonts w:ascii="Arial" w:hAnsi="Arial" w:cs="Arial"/>
          <w:szCs w:val="22"/>
        </w:rPr>
        <w:t>adjustment;</w:t>
      </w:r>
    </w:p>
    <w:p w14:paraId="4C8A106A" w14:textId="77777777" w:rsidR="004819CE" w:rsidRPr="00195DE1" w:rsidRDefault="004819CE" w:rsidP="00177407">
      <w:pPr>
        <w:pStyle w:val="ListParagraph"/>
        <w:ind w:left="633"/>
        <w:rPr>
          <w:rFonts w:ascii="Arial" w:hAnsi="Arial" w:cs="Arial"/>
          <w:szCs w:val="22"/>
        </w:rPr>
      </w:pPr>
    </w:p>
    <w:p w14:paraId="67A48BF8" w14:textId="11F1D3CA" w:rsidR="004819CE" w:rsidRPr="00195DE1" w:rsidRDefault="004819CE" w:rsidP="00177407">
      <w:pPr>
        <w:pStyle w:val="ListParagraph"/>
        <w:numPr>
          <w:ilvl w:val="1"/>
          <w:numId w:val="1"/>
        </w:numPr>
        <w:ind w:left="633" w:hanging="633"/>
        <w:rPr>
          <w:rFonts w:ascii="Arial" w:hAnsi="Arial" w:cs="Arial"/>
          <w:szCs w:val="22"/>
        </w:rPr>
      </w:pPr>
      <w:r w:rsidRPr="00195DE1">
        <w:rPr>
          <w:rFonts w:ascii="Arial" w:hAnsi="Arial" w:cs="Arial"/>
          <w:szCs w:val="22"/>
        </w:rPr>
        <w:t xml:space="preserve">Treatment of other income, </w:t>
      </w:r>
      <w:r w:rsidR="000C10AB">
        <w:rPr>
          <w:rFonts w:ascii="Arial" w:hAnsi="Arial" w:cs="Arial"/>
          <w:szCs w:val="22"/>
        </w:rPr>
        <w:t>such as sales, fees and charges;</w:t>
      </w:r>
    </w:p>
    <w:p w14:paraId="32E6F053" w14:textId="77777777" w:rsidR="004819CE" w:rsidRPr="000C10AB" w:rsidRDefault="004819CE" w:rsidP="000C10AB">
      <w:pPr>
        <w:rPr>
          <w:rFonts w:ascii="Arial" w:hAnsi="Arial" w:cs="Arial"/>
          <w:szCs w:val="22"/>
        </w:rPr>
      </w:pPr>
    </w:p>
    <w:p w14:paraId="609E7D96" w14:textId="77777777" w:rsidR="004819CE" w:rsidRPr="00195DE1" w:rsidRDefault="004819CE" w:rsidP="000C10AB">
      <w:pPr>
        <w:pStyle w:val="ListParagraph"/>
        <w:numPr>
          <w:ilvl w:val="1"/>
          <w:numId w:val="1"/>
        </w:numPr>
        <w:ind w:left="633" w:hanging="633"/>
        <w:rPr>
          <w:rFonts w:ascii="Arial" w:hAnsi="Arial" w:cs="Arial"/>
          <w:szCs w:val="22"/>
        </w:rPr>
      </w:pPr>
      <w:r w:rsidRPr="00195DE1">
        <w:rPr>
          <w:rFonts w:ascii="Arial" w:hAnsi="Arial" w:cs="Arial"/>
          <w:szCs w:val="22"/>
        </w:rPr>
        <w:t>High level principles that could underpin the choices of transition mechanism, such as stability, speed, transparency and time limits;</w:t>
      </w:r>
    </w:p>
    <w:p w14:paraId="3B44D0BD" w14:textId="77777777" w:rsidR="004819CE" w:rsidRPr="00195DE1" w:rsidRDefault="004819CE" w:rsidP="000C10AB">
      <w:pPr>
        <w:pStyle w:val="ListParagraph"/>
        <w:ind w:left="633"/>
        <w:rPr>
          <w:rFonts w:ascii="Arial" w:hAnsi="Arial" w:cs="Arial"/>
          <w:szCs w:val="22"/>
        </w:rPr>
      </w:pPr>
    </w:p>
    <w:p w14:paraId="5A08B60E" w14:textId="5FF12141" w:rsidR="004819CE" w:rsidRPr="00195DE1" w:rsidRDefault="004819CE" w:rsidP="000C10AB">
      <w:pPr>
        <w:pStyle w:val="ListParagraph"/>
        <w:numPr>
          <w:ilvl w:val="1"/>
          <w:numId w:val="1"/>
        </w:numPr>
        <w:ind w:left="633" w:hanging="633"/>
        <w:rPr>
          <w:rFonts w:ascii="Arial" w:hAnsi="Arial" w:cs="Arial"/>
          <w:szCs w:val="22"/>
        </w:rPr>
      </w:pPr>
      <w:r w:rsidRPr="00195DE1">
        <w:rPr>
          <w:rFonts w:ascii="Arial" w:hAnsi="Arial" w:cs="Arial"/>
          <w:szCs w:val="22"/>
        </w:rPr>
        <w:t>The definition and measurement of</w:t>
      </w:r>
      <w:r w:rsidR="00D038A9">
        <w:rPr>
          <w:rFonts w:ascii="Arial" w:hAnsi="Arial" w:cs="Arial"/>
          <w:szCs w:val="22"/>
        </w:rPr>
        <w:t xml:space="preserve"> the </w:t>
      </w:r>
      <w:r w:rsidRPr="00195DE1">
        <w:rPr>
          <w:rFonts w:ascii="Arial" w:hAnsi="Arial" w:cs="Arial"/>
          <w:szCs w:val="22"/>
        </w:rPr>
        <w:t>‘baseline’ and ‘target’ which the transition mechanism would be applied to.</w:t>
      </w:r>
    </w:p>
    <w:p w14:paraId="1B3D174C" w14:textId="77777777" w:rsidR="004819CE" w:rsidRPr="00195DE1" w:rsidRDefault="004819CE" w:rsidP="004819CE">
      <w:pPr>
        <w:pStyle w:val="ListParagraph"/>
        <w:ind w:left="360"/>
        <w:rPr>
          <w:rFonts w:ascii="Arial" w:hAnsi="Arial" w:cs="Arial"/>
          <w:szCs w:val="22"/>
        </w:rPr>
      </w:pPr>
    </w:p>
    <w:p w14:paraId="11B37AC8" w14:textId="77777777" w:rsidR="004819CE" w:rsidRPr="004819CE" w:rsidRDefault="004819CE" w:rsidP="004819CE">
      <w:pPr>
        <w:pStyle w:val="MainText"/>
        <w:numPr>
          <w:ilvl w:val="0"/>
          <w:numId w:val="1"/>
        </w:numPr>
        <w:spacing w:line="240" w:lineRule="auto"/>
        <w:ind w:left="0"/>
        <w:rPr>
          <w:rFonts w:ascii="Arial" w:hAnsi="Arial" w:cs="Arial"/>
        </w:rPr>
      </w:pPr>
      <w:r w:rsidRPr="004819CE">
        <w:rPr>
          <w:rFonts w:ascii="Arial" w:hAnsi="Arial" w:cs="Arial"/>
        </w:rPr>
        <w:t>This is in line with the LGA’s work programme on the Fair Funding Review, with the core LGA work programme and meetings of the Business Rates Retention and Fair Funding Review Task and Finish Group all helping explore policy options ahead of the publication of the consultation document.</w:t>
      </w:r>
    </w:p>
    <w:p w14:paraId="2D79F8AA" w14:textId="77777777" w:rsidR="004819CE" w:rsidRPr="004819CE" w:rsidRDefault="004819CE" w:rsidP="004819CE">
      <w:pPr>
        <w:pStyle w:val="MainText"/>
        <w:spacing w:line="240" w:lineRule="auto"/>
        <w:rPr>
          <w:rFonts w:ascii="Arial" w:hAnsi="Arial" w:cs="Arial"/>
        </w:rPr>
      </w:pPr>
    </w:p>
    <w:p w14:paraId="3B455977" w14:textId="64F54494" w:rsidR="004819CE" w:rsidRPr="004819CE" w:rsidRDefault="004819CE" w:rsidP="004819CE">
      <w:pPr>
        <w:pStyle w:val="MainText"/>
        <w:numPr>
          <w:ilvl w:val="0"/>
          <w:numId w:val="1"/>
        </w:numPr>
        <w:spacing w:line="240" w:lineRule="auto"/>
        <w:ind w:left="0"/>
        <w:rPr>
          <w:rFonts w:ascii="Arial" w:hAnsi="Arial" w:cs="Arial"/>
        </w:rPr>
      </w:pPr>
      <w:r w:rsidRPr="004819CE">
        <w:rPr>
          <w:rFonts w:ascii="Arial" w:hAnsi="Arial" w:cs="Arial"/>
        </w:rPr>
        <w:t xml:space="preserve">Once the consultation is published, officers are planning to coordinate another set of MHCLG/LGA regional consultation events. Due to the timing of the consultation and the local government finance settlement, there </w:t>
      </w:r>
      <w:r w:rsidR="001118C2">
        <w:rPr>
          <w:rFonts w:ascii="Arial" w:hAnsi="Arial" w:cs="Arial"/>
        </w:rPr>
        <w:t xml:space="preserve">may be </w:t>
      </w:r>
      <w:r w:rsidRPr="004819CE">
        <w:rPr>
          <w:rFonts w:ascii="Arial" w:hAnsi="Arial" w:cs="Arial"/>
        </w:rPr>
        <w:t>few</w:t>
      </w:r>
      <w:r w:rsidR="001118C2">
        <w:rPr>
          <w:rFonts w:ascii="Arial" w:hAnsi="Arial" w:cs="Arial"/>
        </w:rPr>
        <w:t xml:space="preserve">er but larger events organised compared to </w:t>
      </w:r>
      <w:r w:rsidRPr="004819CE">
        <w:rPr>
          <w:rFonts w:ascii="Arial" w:hAnsi="Arial" w:cs="Arial"/>
        </w:rPr>
        <w:t>the previous model of six smaller events.</w:t>
      </w:r>
    </w:p>
    <w:p w14:paraId="7670BB93" w14:textId="77777777" w:rsidR="003C1550" w:rsidRPr="003C1550" w:rsidRDefault="003C1550" w:rsidP="003C1550">
      <w:pPr>
        <w:pStyle w:val="ListParagraph"/>
        <w:rPr>
          <w:rFonts w:ascii="Arial" w:hAnsi="Arial" w:cs="Arial"/>
        </w:rPr>
      </w:pPr>
    </w:p>
    <w:p w14:paraId="70E3E6A4" w14:textId="24B11585" w:rsidR="00C55F68" w:rsidRDefault="077B5CBB" w:rsidP="077B5CBB">
      <w:pPr>
        <w:rPr>
          <w:rFonts w:ascii="Arial" w:hAnsi="Arial" w:cs="Arial"/>
          <w:u w:val="single"/>
        </w:rPr>
      </w:pPr>
      <w:r w:rsidRPr="077B5CBB">
        <w:rPr>
          <w:rFonts w:ascii="Arial" w:hAnsi="Arial" w:cs="Arial"/>
          <w:u w:val="single"/>
        </w:rPr>
        <w:t xml:space="preserve">The </w:t>
      </w:r>
      <w:r w:rsidR="00405692">
        <w:rPr>
          <w:rFonts w:ascii="Arial" w:hAnsi="Arial" w:cs="Arial"/>
          <w:u w:val="single"/>
        </w:rPr>
        <w:t>LGA’s policy positions on the F</w:t>
      </w:r>
      <w:r w:rsidR="004819CE">
        <w:rPr>
          <w:rFonts w:ascii="Arial" w:hAnsi="Arial" w:cs="Arial"/>
          <w:u w:val="single"/>
        </w:rPr>
        <w:t xml:space="preserve">air </w:t>
      </w:r>
      <w:r w:rsidR="00405692">
        <w:rPr>
          <w:rFonts w:ascii="Arial" w:hAnsi="Arial" w:cs="Arial"/>
          <w:u w:val="single"/>
        </w:rPr>
        <w:t>F</w:t>
      </w:r>
      <w:r w:rsidR="004819CE">
        <w:rPr>
          <w:rFonts w:ascii="Arial" w:hAnsi="Arial" w:cs="Arial"/>
          <w:u w:val="single"/>
        </w:rPr>
        <w:t xml:space="preserve">unding </w:t>
      </w:r>
      <w:r w:rsidR="00405692">
        <w:rPr>
          <w:rFonts w:ascii="Arial" w:hAnsi="Arial" w:cs="Arial"/>
          <w:u w:val="single"/>
        </w:rPr>
        <w:t>R</w:t>
      </w:r>
      <w:r w:rsidR="004819CE">
        <w:rPr>
          <w:rFonts w:ascii="Arial" w:hAnsi="Arial" w:cs="Arial"/>
          <w:u w:val="single"/>
        </w:rPr>
        <w:t>eview – treatment of resources</w:t>
      </w:r>
      <w:r w:rsidRPr="077B5CBB">
        <w:rPr>
          <w:rFonts w:ascii="Arial" w:hAnsi="Arial" w:cs="Arial"/>
          <w:u w:val="single"/>
        </w:rPr>
        <w:t xml:space="preserve"> </w:t>
      </w:r>
    </w:p>
    <w:p w14:paraId="555A38CC" w14:textId="77777777" w:rsidR="00C55F68" w:rsidRDefault="00C55F68" w:rsidP="00C55F68">
      <w:pPr>
        <w:pStyle w:val="ListParagraph"/>
        <w:ind w:left="0"/>
        <w:rPr>
          <w:rFonts w:ascii="Arial" w:hAnsi="Arial" w:cs="Arial"/>
        </w:rPr>
      </w:pPr>
    </w:p>
    <w:p w14:paraId="569C2687" w14:textId="4E47192C" w:rsidR="00B77E92" w:rsidRPr="00166A07" w:rsidRDefault="00863077" w:rsidP="00C32C75">
      <w:pPr>
        <w:pStyle w:val="MainText"/>
        <w:numPr>
          <w:ilvl w:val="0"/>
          <w:numId w:val="1"/>
        </w:numPr>
        <w:spacing w:line="240" w:lineRule="auto"/>
        <w:ind w:left="0"/>
        <w:rPr>
          <w:rFonts w:ascii="Arial" w:hAnsi="Arial" w:cs="Arial"/>
        </w:rPr>
      </w:pPr>
      <w:r w:rsidRPr="00166A07">
        <w:rPr>
          <w:rFonts w:ascii="Arial" w:hAnsi="Arial" w:cs="Arial"/>
        </w:rPr>
        <w:t xml:space="preserve">The </w:t>
      </w:r>
      <w:r w:rsidR="00B77E92" w:rsidRPr="00166A07">
        <w:rPr>
          <w:rFonts w:ascii="Arial" w:hAnsi="Arial" w:cs="Arial"/>
        </w:rPr>
        <w:t>Government’s Fair Funding Review will set new funding baselines through a combination of assessing each local authority’s relative needs and relative abilities to benefit from local resources other than business rates. In practice this means that t</w:t>
      </w:r>
      <w:r w:rsidRPr="00166A07">
        <w:rPr>
          <w:rFonts w:ascii="Arial" w:hAnsi="Arial" w:cs="Arial"/>
        </w:rPr>
        <w:t xml:space="preserve">he </w:t>
      </w:r>
      <w:r w:rsidR="009137DB" w:rsidRPr="00166A07">
        <w:rPr>
          <w:rFonts w:ascii="Arial" w:hAnsi="Arial" w:cs="Arial"/>
        </w:rPr>
        <w:t xml:space="preserve">relative resource adjustment </w:t>
      </w:r>
      <w:r w:rsidR="00B77E92" w:rsidRPr="00166A07">
        <w:rPr>
          <w:rFonts w:ascii="Arial" w:hAnsi="Arial" w:cs="Arial"/>
        </w:rPr>
        <w:t>will</w:t>
      </w:r>
      <w:r w:rsidR="009137DB" w:rsidRPr="00166A07">
        <w:rPr>
          <w:rFonts w:ascii="Arial" w:hAnsi="Arial" w:cs="Arial"/>
        </w:rPr>
        <w:t xml:space="preserve"> </w:t>
      </w:r>
      <w:r w:rsidR="00166A07">
        <w:rPr>
          <w:rFonts w:ascii="Arial" w:hAnsi="Arial" w:cs="Arial"/>
        </w:rPr>
        <w:t xml:space="preserve">be </w:t>
      </w:r>
      <w:r w:rsidR="009137DB" w:rsidRPr="00166A07">
        <w:rPr>
          <w:rFonts w:ascii="Arial" w:hAnsi="Arial" w:cs="Arial"/>
        </w:rPr>
        <w:t>deduct</w:t>
      </w:r>
      <w:r w:rsidR="00B77E92" w:rsidRPr="00166A07">
        <w:rPr>
          <w:rFonts w:ascii="Arial" w:hAnsi="Arial" w:cs="Arial"/>
        </w:rPr>
        <w:t>ed</w:t>
      </w:r>
      <w:r w:rsidR="009137DB" w:rsidRPr="00166A07">
        <w:rPr>
          <w:rFonts w:ascii="Arial" w:hAnsi="Arial" w:cs="Arial"/>
        </w:rPr>
        <w:t xml:space="preserve"> from the relative needs assessment to produce a funding baseline for each authority.</w:t>
      </w:r>
    </w:p>
    <w:p w14:paraId="4DD7ECA6" w14:textId="77777777" w:rsidR="00B77E92" w:rsidRDefault="00B77E92" w:rsidP="00B77E92">
      <w:pPr>
        <w:pStyle w:val="MainText"/>
        <w:spacing w:line="240" w:lineRule="auto"/>
        <w:rPr>
          <w:rFonts w:ascii="Arial" w:hAnsi="Arial" w:cs="Arial"/>
        </w:rPr>
      </w:pPr>
    </w:p>
    <w:p w14:paraId="38FF38AC" w14:textId="6AFA9843" w:rsidR="009137DB" w:rsidRPr="00B77E92" w:rsidRDefault="00A97983" w:rsidP="00B77E92">
      <w:pPr>
        <w:pStyle w:val="MainText"/>
        <w:numPr>
          <w:ilvl w:val="0"/>
          <w:numId w:val="1"/>
        </w:numPr>
        <w:spacing w:line="240" w:lineRule="auto"/>
        <w:ind w:left="0"/>
        <w:rPr>
          <w:rFonts w:ascii="Arial" w:hAnsi="Arial" w:cs="Arial"/>
        </w:rPr>
      </w:pPr>
      <w:r>
        <w:rPr>
          <w:rFonts w:ascii="Arial" w:hAnsi="Arial" w:cs="Arial"/>
        </w:rPr>
        <w:t xml:space="preserve">In terms </w:t>
      </w:r>
      <w:r w:rsidR="00B77E92">
        <w:rPr>
          <w:rFonts w:ascii="Arial" w:hAnsi="Arial" w:cs="Arial"/>
        </w:rPr>
        <w:t>o</w:t>
      </w:r>
      <w:r>
        <w:rPr>
          <w:rFonts w:ascii="Arial" w:hAnsi="Arial" w:cs="Arial"/>
        </w:rPr>
        <w:t>f</w:t>
      </w:r>
      <w:r w:rsidR="00B77E92">
        <w:rPr>
          <w:rFonts w:ascii="Arial" w:hAnsi="Arial" w:cs="Arial"/>
        </w:rPr>
        <w:t xml:space="preserve"> council tax</w:t>
      </w:r>
      <w:r>
        <w:rPr>
          <w:rFonts w:ascii="Arial" w:hAnsi="Arial" w:cs="Arial"/>
        </w:rPr>
        <w:t>, a</w:t>
      </w:r>
      <w:r w:rsidR="009137DB" w:rsidRPr="00B77E92">
        <w:rPr>
          <w:rFonts w:ascii="Arial" w:hAnsi="Arial" w:cs="Arial"/>
        </w:rPr>
        <w:t xml:space="preserve">uthorities with greater assessed income from council tax </w:t>
      </w:r>
      <w:r w:rsidR="00B77E92" w:rsidRPr="00B77E92">
        <w:rPr>
          <w:rFonts w:ascii="Arial" w:hAnsi="Arial" w:cs="Arial"/>
        </w:rPr>
        <w:t>will receive</w:t>
      </w:r>
      <w:r w:rsidR="009137DB" w:rsidRPr="00B77E92">
        <w:rPr>
          <w:rFonts w:ascii="Arial" w:hAnsi="Arial" w:cs="Arial"/>
        </w:rPr>
        <w:t xml:space="preserve"> relatively larger downward adjustments to their needs share than those with smaller assessed income from council tax.</w:t>
      </w:r>
    </w:p>
    <w:p w14:paraId="322DFF4B" w14:textId="77777777" w:rsidR="009137DB" w:rsidRPr="009137DB" w:rsidRDefault="009137DB" w:rsidP="009137DB">
      <w:pPr>
        <w:pStyle w:val="ListParagraph"/>
        <w:ind w:left="360"/>
        <w:rPr>
          <w:rFonts w:ascii="Arial" w:hAnsi="Arial" w:cs="Arial"/>
          <w:szCs w:val="30"/>
        </w:rPr>
      </w:pPr>
    </w:p>
    <w:p w14:paraId="29A7ADCC" w14:textId="3DDB37D8" w:rsidR="009137DB" w:rsidRPr="00B77E92" w:rsidRDefault="009137DB" w:rsidP="00B77E92">
      <w:pPr>
        <w:pStyle w:val="MainText"/>
        <w:numPr>
          <w:ilvl w:val="0"/>
          <w:numId w:val="1"/>
        </w:numPr>
        <w:spacing w:line="240" w:lineRule="auto"/>
        <w:ind w:left="0"/>
        <w:rPr>
          <w:rFonts w:ascii="Arial" w:hAnsi="Arial" w:cs="Arial"/>
        </w:rPr>
      </w:pPr>
      <w:r w:rsidRPr="00B77E92">
        <w:rPr>
          <w:rFonts w:ascii="Arial" w:hAnsi="Arial" w:cs="Arial"/>
        </w:rPr>
        <w:t>In the pre-April 2013 formula grant system the relative resource adjustment was based</w:t>
      </w:r>
      <w:r w:rsidR="007E5F90">
        <w:rPr>
          <w:rFonts w:ascii="Arial" w:hAnsi="Arial" w:cs="Arial"/>
        </w:rPr>
        <w:t xml:space="preserve"> on</w:t>
      </w:r>
      <w:r w:rsidRPr="00B77E92">
        <w:rPr>
          <w:rFonts w:ascii="Arial" w:hAnsi="Arial" w:cs="Arial"/>
        </w:rPr>
        <w:t>:</w:t>
      </w:r>
    </w:p>
    <w:p w14:paraId="20C344E0" w14:textId="77777777" w:rsidR="009137DB" w:rsidRPr="009137DB" w:rsidRDefault="009137DB" w:rsidP="009137DB">
      <w:pPr>
        <w:pStyle w:val="ListParagraph"/>
        <w:ind w:left="360"/>
        <w:rPr>
          <w:rFonts w:ascii="Arial" w:hAnsi="Arial" w:cs="Arial"/>
          <w:szCs w:val="30"/>
        </w:rPr>
      </w:pPr>
    </w:p>
    <w:p w14:paraId="7E361013" w14:textId="2CF53A05" w:rsidR="009137DB" w:rsidRPr="00AD5BA1" w:rsidRDefault="009137DB" w:rsidP="005E28CA">
      <w:pPr>
        <w:pStyle w:val="ListParagraph"/>
        <w:numPr>
          <w:ilvl w:val="1"/>
          <w:numId w:val="1"/>
        </w:numPr>
        <w:ind w:left="633" w:hanging="633"/>
        <w:rPr>
          <w:rFonts w:ascii="Arial" w:hAnsi="Arial" w:cs="Arial"/>
          <w:szCs w:val="22"/>
        </w:rPr>
      </w:pPr>
      <w:r w:rsidRPr="00AD5BA1">
        <w:rPr>
          <w:rFonts w:ascii="Arial" w:hAnsi="Arial" w:cs="Arial"/>
          <w:szCs w:val="22"/>
        </w:rPr>
        <w:t xml:space="preserve">Sizes of tax bases </w:t>
      </w:r>
      <w:r w:rsidR="00470630">
        <w:rPr>
          <w:rFonts w:ascii="Arial" w:hAnsi="Arial" w:cs="Arial"/>
          <w:szCs w:val="22"/>
        </w:rPr>
        <w:t>(</w:t>
      </w:r>
      <w:r w:rsidRPr="00AD5BA1">
        <w:rPr>
          <w:rFonts w:ascii="Arial" w:hAnsi="Arial" w:cs="Arial"/>
          <w:szCs w:val="22"/>
        </w:rPr>
        <w:t>which are affected by the discounts and exemptions</w:t>
      </w:r>
      <w:r w:rsidR="00470630">
        <w:rPr>
          <w:rFonts w:ascii="Arial" w:hAnsi="Arial" w:cs="Arial"/>
          <w:szCs w:val="22"/>
        </w:rPr>
        <w:t>)</w:t>
      </w:r>
      <w:r w:rsidR="00B77E92" w:rsidRPr="00AD5BA1">
        <w:rPr>
          <w:rFonts w:ascii="Arial" w:hAnsi="Arial" w:cs="Arial"/>
          <w:szCs w:val="22"/>
        </w:rPr>
        <w:t xml:space="preserve"> multiplied by</w:t>
      </w:r>
    </w:p>
    <w:p w14:paraId="2F5C3966" w14:textId="77777777" w:rsidR="009137DB" w:rsidRPr="00AD5BA1" w:rsidRDefault="009137DB" w:rsidP="005E28CA">
      <w:pPr>
        <w:pStyle w:val="ListParagraph"/>
        <w:ind w:left="633"/>
        <w:rPr>
          <w:rFonts w:ascii="Arial" w:hAnsi="Arial" w:cs="Arial"/>
          <w:szCs w:val="22"/>
        </w:rPr>
      </w:pPr>
    </w:p>
    <w:p w14:paraId="3CD81C25" w14:textId="77777777" w:rsidR="009137DB" w:rsidRDefault="009137DB" w:rsidP="005E28CA">
      <w:pPr>
        <w:pStyle w:val="ListParagraph"/>
        <w:numPr>
          <w:ilvl w:val="1"/>
          <w:numId w:val="1"/>
        </w:numPr>
        <w:ind w:left="633" w:hanging="633"/>
        <w:rPr>
          <w:rFonts w:ascii="Arial" w:hAnsi="Arial" w:cs="Arial"/>
          <w:szCs w:val="22"/>
        </w:rPr>
      </w:pPr>
      <w:r w:rsidRPr="00AD5BA1">
        <w:rPr>
          <w:rFonts w:ascii="Arial" w:hAnsi="Arial" w:cs="Arial"/>
          <w:szCs w:val="22"/>
        </w:rPr>
        <w:t>An assumed level of council tax for different tiers of authority.</w:t>
      </w:r>
    </w:p>
    <w:p w14:paraId="57742034" w14:textId="39E1603D" w:rsidR="005E28CA" w:rsidRPr="005E28CA" w:rsidRDefault="005E28CA" w:rsidP="005E28CA">
      <w:pPr>
        <w:pStyle w:val="ListParagraph"/>
        <w:rPr>
          <w:rFonts w:ascii="Arial" w:hAnsi="Arial" w:cs="Arial"/>
          <w:szCs w:val="22"/>
        </w:rPr>
      </w:pPr>
    </w:p>
    <w:p w14:paraId="5CB44DF6" w14:textId="391C37C2" w:rsidR="009137DB" w:rsidRDefault="00B77E92" w:rsidP="004819CE">
      <w:pPr>
        <w:pStyle w:val="MainText"/>
        <w:numPr>
          <w:ilvl w:val="0"/>
          <w:numId w:val="1"/>
        </w:numPr>
        <w:spacing w:line="240" w:lineRule="auto"/>
        <w:ind w:left="0"/>
        <w:rPr>
          <w:rFonts w:ascii="Arial" w:hAnsi="Arial" w:cs="Arial"/>
        </w:rPr>
      </w:pPr>
      <w:r>
        <w:rPr>
          <w:rFonts w:ascii="Arial" w:hAnsi="Arial" w:cs="Arial"/>
        </w:rPr>
        <w:t xml:space="preserve">The Fair Funding Review is also exploring the potential of assessing relative ability to benefit from other sources of income, notably sales, fees and charges, </w:t>
      </w:r>
      <w:r w:rsidR="00F1210B">
        <w:rPr>
          <w:rFonts w:ascii="Arial" w:hAnsi="Arial" w:cs="Arial"/>
        </w:rPr>
        <w:t>which if implemented would result in</w:t>
      </w:r>
      <w:r>
        <w:rPr>
          <w:rFonts w:ascii="Arial" w:hAnsi="Arial" w:cs="Arial"/>
        </w:rPr>
        <w:t xml:space="preserve"> councils with a higher ability to benefit from these income streams receiving a larger downward adjustment on their assessed relative needs.</w:t>
      </w:r>
    </w:p>
    <w:p w14:paraId="76DC4D07" w14:textId="77777777" w:rsidR="00B77E92" w:rsidRDefault="00B77E92" w:rsidP="00B77E92">
      <w:pPr>
        <w:pStyle w:val="MainText"/>
        <w:spacing w:line="240" w:lineRule="auto"/>
        <w:rPr>
          <w:rFonts w:ascii="Arial" w:hAnsi="Arial" w:cs="Arial"/>
        </w:rPr>
      </w:pPr>
    </w:p>
    <w:p w14:paraId="550A9F88" w14:textId="16580DE9" w:rsidR="004819CE" w:rsidRPr="00053579" w:rsidRDefault="004819CE" w:rsidP="004819CE">
      <w:pPr>
        <w:pStyle w:val="MainText"/>
        <w:numPr>
          <w:ilvl w:val="0"/>
          <w:numId w:val="1"/>
        </w:numPr>
        <w:spacing w:line="240" w:lineRule="auto"/>
        <w:ind w:left="0"/>
        <w:rPr>
          <w:rFonts w:ascii="Arial" w:hAnsi="Arial" w:cs="Arial"/>
        </w:rPr>
      </w:pPr>
      <w:r w:rsidRPr="00053579">
        <w:rPr>
          <w:rFonts w:ascii="Arial" w:hAnsi="Arial" w:cs="Arial"/>
        </w:rPr>
        <w:t xml:space="preserve">The December 2017 consultation focussed on the relative needs assessment almost exclusively. Officers expect that the upcoming </w:t>
      </w:r>
      <w:r w:rsidR="00A97983">
        <w:rPr>
          <w:rFonts w:ascii="Arial" w:hAnsi="Arial" w:cs="Arial"/>
        </w:rPr>
        <w:t xml:space="preserve">Fair Funding Review </w:t>
      </w:r>
      <w:r w:rsidRPr="00053579">
        <w:rPr>
          <w:rFonts w:ascii="Arial" w:hAnsi="Arial" w:cs="Arial"/>
        </w:rPr>
        <w:t xml:space="preserve">consultation will provide some emergent Government thinking on how relative resources should be assessed. </w:t>
      </w:r>
    </w:p>
    <w:p w14:paraId="1396F5C8" w14:textId="77777777" w:rsidR="004819CE" w:rsidRDefault="004819CE" w:rsidP="004819CE">
      <w:pPr>
        <w:pStyle w:val="MainText"/>
        <w:spacing w:line="240" w:lineRule="auto"/>
        <w:rPr>
          <w:rFonts w:ascii="Arial" w:hAnsi="Arial" w:cs="Arial"/>
        </w:rPr>
      </w:pPr>
    </w:p>
    <w:p w14:paraId="215FB72D" w14:textId="3B740E31" w:rsidR="004819CE" w:rsidRPr="00146EE6" w:rsidRDefault="004819CE" w:rsidP="004819CE">
      <w:pPr>
        <w:pStyle w:val="MainText"/>
        <w:numPr>
          <w:ilvl w:val="0"/>
          <w:numId w:val="1"/>
        </w:numPr>
        <w:spacing w:line="240" w:lineRule="auto"/>
        <w:ind w:left="0"/>
        <w:rPr>
          <w:rFonts w:ascii="Arial" w:hAnsi="Arial" w:cs="Arial"/>
        </w:rPr>
      </w:pPr>
      <w:r w:rsidRPr="00146EE6">
        <w:rPr>
          <w:rFonts w:ascii="Arial" w:hAnsi="Arial" w:cs="Arial"/>
        </w:rPr>
        <w:lastRenderedPageBreak/>
        <w:t xml:space="preserve">Members of the Task and Finish Group have had extensive discussions on these issues </w:t>
      </w:r>
      <w:r w:rsidR="00A97983">
        <w:rPr>
          <w:rFonts w:ascii="Arial" w:hAnsi="Arial" w:cs="Arial"/>
        </w:rPr>
        <w:t>during</w:t>
      </w:r>
      <w:r w:rsidRPr="00146EE6">
        <w:rPr>
          <w:rFonts w:ascii="Arial" w:hAnsi="Arial" w:cs="Arial"/>
        </w:rPr>
        <w:t xml:space="preserve"> the</w:t>
      </w:r>
      <w:r w:rsidR="00A97983">
        <w:rPr>
          <w:rFonts w:ascii="Arial" w:hAnsi="Arial" w:cs="Arial"/>
        </w:rPr>
        <w:t>ir</w:t>
      </w:r>
      <w:r w:rsidRPr="00146EE6">
        <w:rPr>
          <w:rFonts w:ascii="Arial" w:hAnsi="Arial" w:cs="Arial"/>
        </w:rPr>
        <w:t xml:space="preserve"> July and September meetings</w:t>
      </w:r>
      <w:r>
        <w:rPr>
          <w:rFonts w:ascii="Arial" w:hAnsi="Arial" w:cs="Arial"/>
        </w:rPr>
        <w:t>.</w:t>
      </w:r>
    </w:p>
    <w:p w14:paraId="7002F1B1" w14:textId="77777777" w:rsidR="004819CE" w:rsidRPr="00053579" w:rsidRDefault="004819CE" w:rsidP="004819CE">
      <w:pPr>
        <w:pStyle w:val="MainText"/>
        <w:spacing w:line="240" w:lineRule="auto"/>
        <w:rPr>
          <w:rFonts w:ascii="Arial" w:hAnsi="Arial" w:cs="Arial"/>
        </w:rPr>
      </w:pPr>
    </w:p>
    <w:p w14:paraId="3BFF03EB" w14:textId="0DDA1081" w:rsidR="004819CE" w:rsidRDefault="004819CE" w:rsidP="004819CE">
      <w:pPr>
        <w:pStyle w:val="MainText"/>
        <w:numPr>
          <w:ilvl w:val="0"/>
          <w:numId w:val="1"/>
        </w:numPr>
        <w:spacing w:line="240" w:lineRule="auto"/>
        <w:ind w:left="0"/>
        <w:rPr>
          <w:rFonts w:ascii="Arial" w:hAnsi="Arial" w:cs="Arial"/>
        </w:rPr>
      </w:pPr>
      <w:r>
        <w:rPr>
          <w:rFonts w:ascii="Arial" w:hAnsi="Arial" w:cs="Arial"/>
        </w:rPr>
        <w:t xml:space="preserve">The following table briefly describes the various aspects of the relative </w:t>
      </w:r>
      <w:r w:rsidR="006002CF">
        <w:rPr>
          <w:rFonts w:ascii="Arial" w:hAnsi="Arial" w:cs="Arial"/>
        </w:rPr>
        <w:t>resources</w:t>
      </w:r>
      <w:r>
        <w:rPr>
          <w:rFonts w:ascii="Arial" w:hAnsi="Arial" w:cs="Arial"/>
        </w:rPr>
        <w:t xml:space="preserve"> </w:t>
      </w:r>
      <w:r w:rsidR="00BD5861">
        <w:rPr>
          <w:rFonts w:ascii="Arial" w:hAnsi="Arial" w:cs="Arial"/>
        </w:rPr>
        <w:t xml:space="preserve">adjustment </w:t>
      </w:r>
      <w:r>
        <w:rPr>
          <w:rFonts w:ascii="Arial" w:hAnsi="Arial" w:cs="Arial"/>
        </w:rPr>
        <w:t xml:space="preserve">that are likely to be consulted upon alongside some commentary about the points of consensus of the Task and Finish Group. Additional commentary on these positions is available in </w:t>
      </w:r>
      <w:r w:rsidRPr="00C35DFE">
        <w:rPr>
          <w:rFonts w:ascii="Arial" w:hAnsi="Arial" w:cs="Arial"/>
          <w:b/>
        </w:rPr>
        <w:t xml:space="preserve">Appendix </w:t>
      </w:r>
      <w:r w:rsidR="00C35DFE" w:rsidRPr="00C35DFE">
        <w:rPr>
          <w:rFonts w:ascii="Arial" w:hAnsi="Arial" w:cs="Arial"/>
          <w:b/>
        </w:rPr>
        <w:t>1</w:t>
      </w:r>
      <w:r w:rsidR="00C35DFE">
        <w:rPr>
          <w:rFonts w:ascii="Arial" w:hAnsi="Arial" w:cs="Arial"/>
        </w:rPr>
        <w:t>.</w:t>
      </w:r>
    </w:p>
    <w:p w14:paraId="14360843" w14:textId="77777777" w:rsidR="00B27ADD" w:rsidRDefault="00B27ADD" w:rsidP="00B27ADD">
      <w:pPr>
        <w:pStyle w:val="ListParagraph"/>
        <w:rPr>
          <w:rFonts w:ascii="Arial" w:hAnsi="Arial" w:cs="Arial"/>
        </w:rPr>
      </w:pPr>
    </w:p>
    <w:p w14:paraId="1AA3AD24" w14:textId="281F6707" w:rsidR="00B27ADD" w:rsidRDefault="00B27ADD" w:rsidP="004819CE">
      <w:pPr>
        <w:pStyle w:val="MainText"/>
        <w:numPr>
          <w:ilvl w:val="0"/>
          <w:numId w:val="1"/>
        </w:numPr>
        <w:spacing w:line="240" w:lineRule="auto"/>
        <w:ind w:left="0"/>
        <w:rPr>
          <w:rFonts w:ascii="Arial" w:hAnsi="Arial" w:cs="Arial"/>
        </w:rPr>
      </w:pPr>
      <w:r>
        <w:rPr>
          <w:rFonts w:ascii="Arial" w:hAnsi="Arial" w:cs="Arial"/>
        </w:rPr>
        <w:t>Please note that all of these decisions will have a distributional impact – each of these decisions will benefit some councils at a cost to others if the Fair Funding Review is a ‘zero sum’ exercise.</w:t>
      </w:r>
      <w:r w:rsidR="00F1210B">
        <w:rPr>
          <w:rFonts w:ascii="Arial" w:hAnsi="Arial" w:cs="Arial"/>
        </w:rPr>
        <w:t xml:space="preserve">  The Task and Finish Group developed their positions on the basis of principles including</w:t>
      </w:r>
      <w:r w:rsidR="00D038A9">
        <w:rPr>
          <w:rFonts w:ascii="Arial" w:hAnsi="Arial" w:cs="Arial"/>
        </w:rPr>
        <w:t xml:space="preserve"> a desire to avoid</w:t>
      </w:r>
      <w:r w:rsidR="00F1210B">
        <w:rPr>
          <w:rFonts w:ascii="Arial" w:hAnsi="Arial" w:cs="Arial"/>
        </w:rPr>
        <w:t xml:space="preserve"> perverse incentives but were mindful of the distributional impact.</w:t>
      </w:r>
    </w:p>
    <w:p w14:paraId="5F278853" w14:textId="77777777" w:rsidR="004819CE" w:rsidRDefault="004819CE" w:rsidP="004819CE">
      <w:pPr>
        <w:pStyle w:val="ListParagraph"/>
        <w:rPr>
          <w:rFonts w:ascii="Arial" w:hAnsi="Arial" w:cs="Arial"/>
        </w:rPr>
      </w:pPr>
    </w:p>
    <w:p w14:paraId="41AF2781" w14:textId="05830CD1" w:rsidR="004819CE" w:rsidRPr="004819CE" w:rsidRDefault="004819CE" w:rsidP="004819CE">
      <w:pPr>
        <w:pStyle w:val="MainText"/>
        <w:numPr>
          <w:ilvl w:val="0"/>
          <w:numId w:val="1"/>
        </w:numPr>
        <w:spacing w:line="240" w:lineRule="auto"/>
        <w:ind w:left="0"/>
        <w:rPr>
          <w:rFonts w:ascii="Arial" w:hAnsi="Arial" w:cs="Arial"/>
          <w:b/>
          <w:bCs/>
        </w:rPr>
      </w:pPr>
      <w:r w:rsidRPr="004819CE">
        <w:rPr>
          <w:rFonts w:ascii="Arial" w:hAnsi="Arial" w:cs="Arial"/>
          <w:b/>
        </w:rPr>
        <w:t xml:space="preserve">Members of Leadership Board are asked to provide clearance </w:t>
      </w:r>
      <w:r w:rsidR="00F1210B">
        <w:rPr>
          <w:rFonts w:ascii="Arial" w:hAnsi="Arial" w:cs="Arial"/>
          <w:b/>
        </w:rPr>
        <w:t>on the</w:t>
      </w:r>
      <w:r w:rsidRPr="004819CE">
        <w:rPr>
          <w:rFonts w:ascii="Arial" w:hAnsi="Arial" w:cs="Arial"/>
          <w:b/>
        </w:rPr>
        <w:t xml:space="preserve"> positions set out in table 1 and Appendix </w:t>
      </w:r>
      <w:r w:rsidR="00C35DFE">
        <w:rPr>
          <w:rFonts w:ascii="Arial" w:hAnsi="Arial" w:cs="Arial"/>
          <w:b/>
        </w:rPr>
        <w:t>1</w:t>
      </w:r>
      <w:r w:rsidRPr="004819CE">
        <w:rPr>
          <w:rFonts w:ascii="Arial" w:hAnsi="Arial" w:cs="Arial"/>
          <w:b/>
        </w:rPr>
        <w:t>.</w:t>
      </w:r>
    </w:p>
    <w:p w14:paraId="00CCCD52" w14:textId="77777777" w:rsidR="004819CE" w:rsidRDefault="004819CE" w:rsidP="004819CE">
      <w:pPr>
        <w:pStyle w:val="MainText"/>
        <w:spacing w:line="240" w:lineRule="auto"/>
        <w:rPr>
          <w:rFonts w:ascii="Arial" w:hAnsi="Arial" w:cs="Arial"/>
          <w:b/>
          <w:bCs/>
        </w:rPr>
      </w:pPr>
    </w:p>
    <w:p w14:paraId="274A9DD0" w14:textId="77777777" w:rsidR="004819CE" w:rsidRDefault="004819CE" w:rsidP="004819CE">
      <w:pPr>
        <w:pStyle w:val="MainText"/>
        <w:ind w:left="360"/>
        <w:rPr>
          <w:rFonts w:ascii="Arial" w:hAnsi="Arial" w:cs="Arial"/>
        </w:rPr>
      </w:pPr>
    </w:p>
    <w:p w14:paraId="74950F00" w14:textId="77777777" w:rsidR="004819CE" w:rsidRDefault="004819CE" w:rsidP="004819CE">
      <w:pPr>
        <w:pStyle w:val="ListParagraph"/>
        <w:rPr>
          <w:rFonts w:ascii="Arial" w:hAnsi="Arial" w:cs="Arial"/>
        </w:rPr>
      </w:pPr>
    </w:p>
    <w:p w14:paraId="156D560F" w14:textId="77777777" w:rsidR="004819CE" w:rsidRDefault="004819CE" w:rsidP="004819CE">
      <w:pPr>
        <w:pStyle w:val="MainText"/>
        <w:rPr>
          <w:rFonts w:ascii="Arial" w:hAnsi="Arial" w:cs="Arial"/>
        </w:rPr>
      </w:pPr>
    </w:p>
    <w:p w14:paraId="1E8B3606" w14:textId="77777777" w:rsidR="004819CE" w:rsidRDefault="004819CE" w:rsidP="004819CE">
      <w:pPr>
        <w:pStyle w:val="MainText"/>
        <w:ind w:left="360"/>
        <w:rPr>
          <w:rFonts w:ascii="Arial" w:hAnsi="Arial" w:cs="Arial"/>
        </w:rPr>
        <w:sectPr w:rsidR="004819CE">
          <w:headerReference w:type="default" r:id="rId18"/>
          <w:pgSz w:w="11906" w:h="16838"/>
          <w:pgMar w:top="1440" w:right="1440" w:bottom="1440" w:left="1440" w:header="708" w:footer="708" w:gutter="0"/>
          <w:cols w:space="708"/>
          <w:docGrid w:linePitch="360"/>
        </w:sectPr>
      </w:pPr>
    </w:p>
    <w:p w14:paraId="5DA43CF9" w14:textId="630F502D" w:rsidR="004819CE" w:rsidRPr="00A33B9F" w:rsidRDefault="004819CE" w:rsidP="004819CE">
      <w:pPr>
        <w:pStyle w:val="MainText"/>
        <w:ind w:left="360"/>
        <w:rPr>
          <w:rFonts w:ascii="Arial" w:hAnsi="Arial" w:cs="Arial"/>
          <w:b/>
        </w:rPr>
      </w:pPr>
      <w:r w:rsidRPr="00A33B9F">
        <w:rPr>
          <w:rFonts w:ascii="Arial" w:hAnsi="Arial" w:cs="Arial"/>
          <w:b/>
        </w:rPr>
        <w:lastRenderedPageBreak/>
        <w:t>Table</w:t>
      </w:r>
      <w:r>
        <w:rPr>
          <w:rFonts w:ascii="Arial" w:hAnsi="Arial" w:cs="Arial"/>
          <w:b/>
        </w:rPr>
        <w:t xml:space="preserve"> 1</w:t>
      </w:r>
      <w:r w:rsidRPr="00A33B9F">
        <w:rPr>
          <w:rFonts w:ascii="Arial" w:hAnsi="Arial" w:cs="Arial"/>
          <w:b/>
        </w:rPr>
        <w:t xml:space="preserve">. </w:t>
      </w:r>
      <w:r w:rsidR="00E17482">
        <w:rPr>
          <w:rFonts w:ascii="Arial" w:hAnsi="Arial" w:cs="Arial"/>
          <w:b/>
        </w:rPr>
        <w:t>R</w:t>
      </w:r>
      <w:r w:rsidR="00E17482" w:rsidRPr="00A33B9F">
        <w:rPr>
          <w:rFonts w:ascii="Arial" w:hAnsi="Arial" w:cs="Arial"/>
          <w:b/>
        </w:rPr>
        <w:t xml:space="preserve">elative </w:t>
      </w:r>
      <w:r w:rsidR="00E17482">
        <w:rPr>
          <w:rFonts w:ascii="Arial" w:hAnsi="Arial" w:cs="Arial"/>
          <w:b/>
        </w:rPr>
        <w:t>Resources</w:t>
      </w:r>
      <w:r w:rsidR="00E17482" w:rsidRPr="00A33B9F">
        <w:rPr>
          <w:rFonts w:ascii="Arial" w:hAnsi="Arial" w:cs="Arial"/>
          <w:b/>
        </w:rPr>
        <w:t xml:space="preserve"> </w:t>
      </w:r>
      <w:r w:rsidR="00E17482">
        <w:rPr>
          <w:rFonts w:ascii="Arial" w:hAnsi="Arial" w:cs="Arial"/>
          <w:b/>
        </w:rPr>
        <w:t xml:space="preserve">Adjustment </w:t>
      </w:r>
      <w:r w:rsidR="000351D0">
        <w:rPr>
          <w:rFonts w:ascii="Arial" w:hAnsi="Arial" w:cs="Arial"/>
          <w:b/>
        </w:rPr>
        <w:t>likely consultation issues</w:t>
      </w:r>
      <w:r w:rsidR="00E17482">
        <w:rPr>
          <w:rFonts w:ascii="Arial" w:hAnsi="Arial" w:cs="Arial"/>
          <w:b/>
        </w:rPr>
        <w:t xml:space="preserve">- </w:t>
      </w:r>
      <w:r w:rsidR="00325046">
        <w:rPr>
          <w:rFonts w:ascii="Arial" w:hAnsi="Arial" w:cs="Arial"/>
          <w:b/>
        </w:rPr>
        <w:t>Task And Finish Group recommendations</w:t>
      </w:r>
    </w:p>
    <w:p w14:paraId="00C41086" w14:textId="77777777" w:rsidR="004819CE" w:rsidRDefault="004819CE" w:rsidP="004819CE">
      <w:pPr>
        <w:pStyle w:val="MainText"/>
        <w:ind w:left="360"/>
        <w:rPr>
          <w:rFonts w:ascii="Arial" w:hAnsi="Arial" w:cs="Arial"/>
        </w:rPr>
      </w:pPr>
    </w:p>
    <w:tbl>
      <w:tblPr>
        <w:tblStyle w:val="TableGrid"/>
        <w:tblW w:w="0" w:type="auto"/>
        <w:tblInd w:w="360" w:type="dxa"/>
        <w:tblLook w:val="04A0" w:firstRow="1" w:lastRow="0" w:firstColumn="1" w:lastColumn="0" w:noHBand="0" w:noVBand="1"/>
      </w:tblPr>
      <w:tblGrid>
        <w:gridCol w:w="3888"/>
        <w:gridCol w:w="4961"/>
        <w:gridCol w:w="4253"/>
      </w:tblGrid>
      <w:tr w:rsidR="004819CE" w:rsidRPr="00A33B9F" w14:paraId="398CF5D9" w14:textId="77777777" w:rsidTr="004819CE">
        <w:trPr>
          <w:cantSplit/>
          <w:tblHeader/>
        </w:trPr>
        <w:tc>
          <w:tcPr>
            <w:tcW w:w="3888" w:type="dxa"/>
            <w:shd w:val="clear" w:color="auto" w:fill="D9D9D9" w:themeFill="background1" w:themeFillShade="D9"/>
          </w:tcPr>
          <w:p w14:paraId="7CBAA604" w14:textId="77777777" w:rsidR="004819CE" w:rsidRPr="00424B59" w:rsidRDefault="004819CE" w:rsidP="004819CE">
            <w:pPr>
              <w:pStyle w:val="MainText"/>
              <w:rPr>
                <w:rFonts w:ascii="Arial" w:hAnsi="Arial" w:cs="Arial"/>
                <w:b/>
                <w:sz w:val="22"/>
                <w:szCs w:val="22"/>
              </w:rPr>
            </w:pPr>
            <w:r w:rsidRPr="00424B59">
              <w:rPr>
                <w:rFonts w:ascii="Arial" w:hAnsi="Arial" w:cs="Arial"/>
                <w:b/>
                <w:sz w:val="22"/>
                <w:szCs w:val="22"/>
              </w:rPr>
              <w:t>Topic</w:t>
            </w:r>
          </w:p>
        </w:tc>
        <w:tc>
          <w:tcPr>
            <w:tcW w:w="4961" w:type="dxa"/>
            <w:shd w:val="clear" w:color="auto" w:fill="D9D9D9" w:themeFill="background1" w:themeFillShade="D9"/>
          </w:tcPr>
          <w:p w14:paraId="1F7FD048" w14:textId="4A1266E5" w:rsidR="004819CE" w:rsidRPr="00424B59" w:rsidRDefault="000351D0" w:rsidP="004819CE">
            <w:pPr>
              <w:pStyle w:val="MainText"/>
              <w:rPr>
                <w:rFonts w:ascii="Arial" w:hAnsi="Arial" w:cs="Arial"/>
                <w:b/>
                <w:sz w:val="22"/>
                <w:szCs w:val="22"/>
              </w:rPr>
            </w:pPr>
            <w:r>
              <w:rPr>
                <w:rFonts w:ascii="Arial" w:hAnsi="Arial" w:cs="Arial"/>
                <w:b/>
                <w:sz w:val="22"/>
                <w:szCs w:val="22"/>
              </w:rPr>
              <w:t>Potential</w:t>
            </w:r>
            <w:r w:rsidR="004819CE" w:rsidRPr="00424B59">
              <w:rPr>
                <w:rFonts w:ascii="Arial" w:hAnsi="Arial" w:cs="Arial"/>
                <w:b/>
                <w:sz w:val="22"/>
                <w:szCs w:val="22"/>
              </w:rPr>
              <w:t xml:space="preserve"> content (</w:t>
            </w:r>
            <w:r w:rsidR="004819CE">
              <w:rPr>
                <w:rFonts w:ascii="Arial" w:hAnsi="Arial" w:cs="Arial"/>
                <w:b/>
                <w:sz w:val="22"/>
                <w:szCs w:val="22"/>
              </w:rPr>
              <w:t xml:space="preserve">LGA </w:t>
            </w:r>
            <w:r w:rsidR="004819CE" w:rsidRPr="00424B59">
              <w:rPr>
                <w:rFonts w:ascii="Arial" w:hAnsi="Arial" w:cs="Arial"/>
                <w:b/>
                <w:sz w:val="22"/>
                <w:szCs w:val="22"/>
              </w:rPr>
              <w:t>officer view</w:t>
            </w:r>
            <w:r>
              <w:rPr>
                <w:rFonts w:ascii="Arial" w:hAnsi="Arial" w:cs="Arial"/>
                <w:b/>
                <w:sz w:val="22"/>
                <w:szCs w:val="22"/>
              </w:rPr>
              <w:t xml:space="preserve"> based on discussions in joint MHCLG / LGA groups</w:t>
            </w:r>
            <w:r w:rsidR="004819CE" w:rsidRPr="00424B59">
              <w:rPr>
                <w:rFonts w:ascii="Arial" w:hAnsi="Arial" w:cs="Arial"/>
                <w:b/>
                <w:sz w:val="22"/>
                <w:szCs w:val="22"/>
              </w:rPr>
              <w:t>)</w:t>
            </w:r>
          </w:p>
        </w:tc>
        <w:tc>
          <w:tcPr>
            <w:tcW w:w="4253" w:type="dxa"/>
            <w:shd w:val="clear" w:color="auto" w:fill="D9D9D9" w:themeFill="background1" w:themeFillShade="D9"/>
          </w:tcPr>
          <w:p w14:paraId="05661DAC" w14:textId="59D4A2AE" w:rsidR="004819CE" w:rsidRPr="00424B59" w:rsidRDefault="000351D0" w:rsidP="00E17482">
            <w:pPr>
              <w:pStyle w:val="MainText"/>
              <w:rPr>
                <w:rFonts w:ascii="Arial" w:hAnsi="Arial" w:cs="Arial"/>
                <w:b/>
                <w:sz w:val="22"/>
                <w:szCs w:val="22"/>
              </w:rPr>
            </w:pPr>
            <w:r>
              <w:rPr>
                <w:rFonts w:ascii="Arial" w:hAnsi="Arial" w:cs="Arial"/>
                <w:b/>
                <w:sz w:val="22"/>
                <w:szCs w:val="22"/>
              </w:rPr>
              <w:t xml:space="preserve">Suggested </w:t>
            </w:r>
            <w:r w:rsidR="004819CE" w:rsidRPr="00424B59">
              <w:rPr>
                <w:rFonts w:ascii="Arial" w:hAnsi="Arial" w:cs="Arial"/>
                <w:b/>
                <w:sz w:val="22"/>
                <w:szCs w:val="22"/>
              </w:rPr>
              <w:t>policy position (developed by the Task and Finish Group, subject to approval by LGA Leadership Board and Executive)</w:t>
            </w:r>
          </w:p>
        </w:tc>
      </w:tr>
      <w:tr w:rsidR="004819CE" w14:paraId="3A7739B4" w14:textId="77777777" w:rsidTr="004819CE">
        <w:trPr>
          <w:cantSplit/>
        </w:trPr>
        <w:tc>
          <w:tcPr>
            <w:tcW w:w="3888" w:type="dxa"/>
          </w:tcPr>
          <w:p w14:paraId="6FC05FAB"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Measuring the council tax base, in particular treatment of mandatory and discretionary council tax discounts.</w:t>
            </w:r>
          </w:p>
        </w:tc>
        <w:tc>
          <w:tcPr>
            <w:tcW w:w="4961" w:type="dxa"/>
          </w:tcPr>
          <w:p w14:paraId="42231B28"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The Government is expected to be leaning towards only adjusting for mandatory discounts and reliefs.</w:t>
            </w:r>
          </w:p>
        </w:tc>
        <w:tc>
          <w:tcPr>
            <w:tcW w:w="4253" w:type="dxa"/>
          </w:tcPr>
          <w:p w14:paraId="57D5A712"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Only mandatory discounts and reliefs should be adjusted for.</w:t>
            </w:r>
          </w:p>
        </w:tc>
      </w:tr>
      <w:tr w:rsidR="004819CE" w14:paraId="375E8582" w14:textId="77777777" w:rsidTr="004819CE">
        <w:trPr>
          <w:cantSplit/>
        </w:trPr>
        <w:tc>
          <w:tcPr>
            <w:tcW w:w="3888" w:type="dxa"/>
          </w:tcPr>
          <w:p w14:paraId="0AED71E8"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 xml:space="preserve">Adjustments to the </w:t>
            </w:r>
            <w:proofErr w:type="spellStart"/>
            <w:r w:rsidRPr="00424B59">
              <w:rPr>
                <w:rFonts w:ascii="Arial" w:hAnsi="Arial" w:cs="Arial"/>
                <w:sz w:val="22"/>
                <w:szCs w:val="22"/>
              </w:rPr>
              <w:t>taxbase</w:t>
            </w:r>
            <w:proofErr w:type="spellEnd"/>
            <w:r w:rsidRPr="00424B59">
              <w:rPr>
                <w:rFonts w:ascii="Arial" w:hAnsi="Arial" w:cs="Arial"/>
                <w:sz w:val="22"/>
                <w:szCs w:val="22"/>
              </w:rPr>
              <w:t xml:space="preserve"> due to local council tax support</w:t>
            </w:r>
          </w:p>
        </w:tc>
        <w:tc>
          <w:tcPr>
            <w:tcW w:w="4961" w:type="dxa"/>
          </w:tcPr>
          <w:p w14:paraId="523777A5"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The Government is not expected to express a hard preference but might be leaning towards either adjusting only for the cost of the mandatory pensioner element, or on the basis of formula which aims to predict local demand for council tax support.</w:t>
            </w:r>
          </w:p>
        </w:tc>
        <w:tc>
          <w:tcPr>
            <w:tcW w:w="4253" w:type="dxa"/>
          </w:tcPr>
          <w:p w14:paraId="34F5CEC8" w14:textId="77777777" w:rsidR="004819CE" w:rsidRDefault="004819CE" w:rsidP="004819CE">
            <w:pPr>
              <w:pStyle w:val="MainText"/>
              <w:rPr>
                <w:rFonts w:ascii="Arial" w:hAnsi="Arial" w:cs="Arial"/>
                <w:sz w:val="22"/>
                <w:szCs w:val="22"/>
              </w:rPr>
            </w:pPr>
            <w:r w:rsidRPr="00424B59">
              <w:rPr>
                <w:rFonts w:ascii="Arial" w:hAnsi="Arial" w:cs="Arial"/>
                <w:sz w:val="22"/>
                <w:szCs w:val="22"/>
              </w:rPr>
              <w:t>For pensioners, adjust the data for council tax support.</w:t>
            </w:r>
          </w:p>
          <w:p w14:paraId="550AA054" w14:textId="77777777" w:rsidR="004819CE" w:rsidRPr="00424B59" w:rsidRDefault="004819CE" w:rsidP="004819CE">
            <w:pPr>
              <w:pStyle w:val="MainText"/>
              <w:rPr>
                <w:rFonts w:ascii="Arial" w:hAnsi="Arial" w:cs="Arial"/>
                <w:sz w:val="22"/>
                <w:szCs w:val="22"/>
              </w:rPr>
            </w:pPr>
          </w:p>
          <w:p w14:paraId="13B58FE8" w14:textId="79CFE9F3" w:rsidR="004819CE" w:rsidRPr="00424B59" w:rsidRDefault="000351D0" w:rsidP="0003731A">
            <w:pPr>
              <w:pStyle w:val="MainText"/>
              <w:rPr>
                <w:rFonts w:ascii="Arial" w:hAnsi="Arial" w:cs="Arial"/>
                <w:sz w:val="22"/>
                <w:szCs w:val="22"/>
              </w:rPr>
            </w:pPr>
            <w:r>
              <w:rPr>
                <w:rFonts w:ascii="Arial" w:hAnsi="Arial" w:cs="Arial"/>
                <w:sz w:val="22"/>
                <w:szCs w:val="22"/>
              </w:rPr>
              <w:t xml:space="preserve">The Government should adjust for the non-pensioner element of council tax support </w:t>
            </w:r>
            <w:r w:rsidR="004819CE" w:rsidRPr="00424B59">
              <w:rPr>
                <w:rFonts w:ascii="Arial" w:hAnsi="Arial" w:cs="Arial"/>
                <w:sz w:val="22"/>
                <w:szCs w:val="22"/>
              </w:rPr>
              <w:t>on the basis of a formula which would estimate demand for local council tax support schemes.</w:t>
            </w:r>
          </w:p>
        </w:tc>
      </w:tr>
      <w:tr w:rsidR="004819CE" w14:paraId="78E9DBCF" w14:textId="77777777" w:rsidTr="004819CE">
        <w:trPr>
          <w:cantSplit/>
        </w:trPr>
        <w:tc>
          <w:tcPr>
            <w:tcW w:w="3888" w:type="dxa"/>
          </w:tcPr>
          <w:p w14:paraId="403497FB"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Using either a ‘notional’ or actual council tax levels in the calculations</w:t>
            </w:r>
          </w:p>
        </w:tc>
        <w:tc>
          <w:tcPr>
            <w:tcW w:w="4961" w:type="dxa"/>
          </w:tcPr>
          <w:p w14:paraId="3CB74429"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The Government is expected to lean towards using a notional council tax, but without much detail on what that level would be for each local authority type</w:t>
            </w:r>
          </w:p>
        </w:tc>
        <w:tc>
          <w:tcPr>
            <w:tcW w:w="4253" w:type="dxa"/>
          </w:tcPr>
          <w:p w14:paraId="5DBEB9C6"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Notional council tax levels should be used in the calculations.</w:t>
            </w:r>
          </w:p>
        </w:tc>
      </w:tr>
      <w:tr w:rsidR="004819CE" w14:paraId="2C012D10" w14:textId="77777777" w:rsidTr="004819CE">
        <w:trPr>
          <w:cantSplit/>
        </w:trPr>
        <w:tc>
          <w:tcPr>
            <w:tcW w:w="3888" w:type="dxa"/>
          </w:tcPr>
          <w:p w14:paraId="3EA29035" w14:textId="49FE58CE" w:rsidR="004819CE" w:rsidRPr="00424B59" w:rsidRDefault="004819CE" w:rsidP="004819CE">
            <w:pPr>
              <w:pStyle w:val="MainText"/>
              <w:rPr>
                <w:rFonts w:ascii="Arial" w:hAnsi="Arial" w:cs="Arial"/>
                <w:sz w:val="22"/>
                <w:szCs w:val="22"/>
              </w:rPr>
            </w:pPr>
            <w:r>
              <w:rPr>
                <w:rFonts w:ascii="Arial" w:hAnsi="Arial" w:cs="Arial"/>
                <w:sz w:val="22"/>
                <w:szCs w:val="22"/>
              </w:rPr>
              <w:lastRenderedPageBreak/>
              <w:t xml:space="preserve">Treatment of factors that affect council tax levels, such </w:t>
            </w:r>
            <w:r w:rsidR="0003731A">
              <w:rPr>
                <w:rFonts w:ascii="Arial" w:hAnsi="Arial" w:cs="Arial"/>
                <w:sz w:val="22"/>
                <w:szCs w:val="22"/>
              </w:rPr>
              <w:t xml:space="preserve">as </w:t>
            </w:r>
            <w:r>
              <w:rPr>
                <w:rFonts w:ascii="Arial" w:hAnsi="Arial" w:cs="Arial"/>
                <w:sz w:val="22"/>
                <w:szCs w:val="22"/>
              </w:rPr>
              <w:t xml:space="preserve">parish precepts, the adult social care precept, past acceptance of council tax freeze grant and special levies. </w:t>
            </w:r>
          </w:p>
        </w:tc>
        <w:tc>
          <w:tcPr>
            <w:tcW w:w="4961" w:type="dxa"/>
          </w:tcPr>
          <w:p w14:paraId="7D830C67" w14:textId="77777777" w:rsidR="004819CE" w:rsidRPr="008961AC" w:rsidRDefault="004819CE" w:rsidP="004819CE">
            <w:pPr>
              <w:pStyle w:val="MainText"/>
              <w:rPr>
                <w:rFonts w:ascii="Arial" w:hAnsi="Arial" w:cs="Arial"/>
                <w:sz w:val="22"/>
                <w:szCs w:val="22"/>
              </w:rPr>
            </w:pPr>
            <w:r w:rsidRPr="008961AC">
              <w:rPr>
                <w:rFonts w:ascii="Arial" w:hAnsi="Arial" w:cs="Arial"/>
                <w:sz w:val="22"/>
                <w:szCs w:val="22"/>
              </w:rPr>
              <w:t>The Government’s preference is unclear, but the use of notional council tax levels would make this of little importance.</w:t>
            </w:r>
            <w:r w:rsidRPr="008961AC" w:rsidDel="0098478D">
              <w:rPr>
                <w:rFonts w:ascii="Arial" w:hAnsi="Arial" w:cs="Arial"/>
                <w:sz w:val="22"/>
                <w:szCs w:val="22"/>
              </w:rPr>
              <w:t xml:space="preserve"> </w:t>
            </w:r>
          </w:p>
        </w:tc>
        <w:tc>
          <w:tcPr>
            <w:tcW w:w="4253" w:type="dxa"/>
          </w:tcPr>
          <w:p w14:paraId="277FD2BE" w14:textId="77777777" w:rsidR="004819CE" w:rsidRPr="008961AC" w:rsidRDefault="004819CE" w:rsidP="004819CE">
            <w:pPr>
              <w:pStyle w:val="MainText"/>
              <w:rPr>
                <w:rFonts w:ascii="Arial" w:hAnsi="Arial" w:cs="Arial"/>
                <w:sz w:val="22"/>
                <w:szCs w:val="22"/>
              </w:rPr>
            </w:pPr>
            <w:r w:rsidRPr="008961AC">
              <w:rPr>
                <w:rFonts w:ascii="Arial" w:hAnsi="Arial" w:cs="Arial"/>
                <w:sz w:val="22"/>
                <w:szCs w:val="22"/>
              </w:rPr>
              <w:t>While the use of notional council tax levels (the option preferred by members) would minimise the influence of these factors,</w:t>
            </w:r>
          </w:p>
          <w:p w14:paraId="6DC4784C" w14:textId="77777777" w:rsidR="004819CE" w:rsidRPr="008961AC" w:rsidRDefault="004819CE" w:rsidP="004819CE">
            <w:pPr>
              <w:pStyle w:val="MainText"/>
              <w:rPr>
                <w:rFonts w:ascii="Arial" w:hAnsi="Arial" w:cs="Arial"/>
                <w:sz w:val="22"/>
                <w:szCs w:val="22"/>
              </w:rPr>
            </w:pPr>
          </w:p>
          <w:p w14:paraId="2547DB12" w14:textId="13CAF09E" w:rsidR="004819CE" w:rsidRPr="008961AC" w:rsidRDefault="004819CE" w:rsidP="004819CE">
            <w:pPr>
              <w:pStyle w:val="MainText"/>
              <w:numPr>
                <w:ilvl w:val="0"/>
                <w:numId w:val="28"/>
              </w:numPr>
              <w:ind w:left="317"/>
              <w:rPr>
                <w:rFonts w:ascii="Arial" w:hAnsi="Arial" w:cs="Arial"/>
                <w:sz w:val="22"/>
                <w:szCs w:val="22"/>
              </w:rPr>
            </w:pPr>
            <w:r w:rsidRPr="008961AC">
              <w:rPr>
                <w:rFonts w:ascii="Arial" w:hAnsi="Arial" w:cs="Arial"/>
                <w:sz w:val="22"/>
                <w:szCs w:val="22"/>
              </w:rPr>
              <w:t>Parish precepts should be excluded</w:t>
            </w:r>
            <w:r w:rsidR="0003731A">
              <w:rPr>
                <w:rFonts w:ascii="Arial" w:hAnsi="Arial" w:cs="Arial"/>
                <w:sz w:val="22"/>
                <w:szCs w:val="22"/>
              </w:rPr>
              <w:t xml:space="preserve"> as local authorities do not keep this income and so there funding should not be reduced</w:t>
            </w:r>
            <w:r w:rsidRPr="008961AC">
              <w:rPr>
                <w:rFonts w:ascii="Arial" w:hAnsi="Arial" w:cs="Arial"/>
                <w:sz w:val="22"/>
                <w:szCs w:val="22"/>
              </w:rPr>
              <w:t>.</w:t>
            </w:r>
          </w:p>
          <w:p w14:paraId="50AC04E6" w14:textId="77777777" w:rsidR="004819CE" w:rsidRPr="008961AC" w:rsidRDefault="004819CE" w:rsidP="004819CE">
            <w:pPr>
              <w:pStyle w:val="MainText"/>
              <w:numPr>
                <w:ilvl w:val="0"/>
                <w:numId w:val="28"/>
              </w:numPr>
              <w:ind w:left="317"/>
              <w:rPr>
                <w:rFonts w:ascii="Arial" w:hAnsi="Arial" w:cs="Arial"/>
                <w:sz w:val="22"/>
                <w:szCs w:val="22"/>
              </w:rPr>
            </w:pPr>
            <w:r w:rsidRPr="008961AC">
              <w:rPr>
                <w:rFonts w:ascii="Arial" w:hAnsi="Arial" w:cs="Arial"/>
                <w:sz w:val="22"/>
                <w:szCs w:val="22"/>
              </w:rPr>
              <w:t>The adjustment for the adult social care precept depends on whether the improved Better Care Fund is going to be funded through business rates or continue to be separate.</w:t>
            </w:r>
          </w:p>
          <w:p w14:paraId="7244D0B5" w14:textId="77777777" w:rsidR="004819CE" w:rsidRPr="008961AC" w:rsidRDefault="004819CE" w:rsidP="004819CE">
            <w:pPr>
              <w:pStyle w:val="MainText"/>
              <w:numPr>
                <w:ilvl w:val="0"/>
                <w:numId w:val="28"/>
              </w:numPr>
              <w:ind w:left="317"/>
              <w:rPr>
                <w:rFonts w:ascii="Arial" w:hAnsi="Arial" w:cs="Arial"/>
                <w:sz w:val="22"/>
                <w:szCs w:val="22"/>
              </w:rPr>
            </w:pPr>
            <w:r>
              <w:rPr>
                <w:rFonts w:ascii="Arial" w:hAnsi="Arial" w:cs="Arial"/>
                <w:sz w:val="22"/>
                <w:szCs w:val="22"/>
              </w:rPr>
              <w:t>Councils should not be penalised for m</w:t>
            </w:r>
            <w:r w:rsidRPr="008961AC">
              <w:rPr>
                <w:rFonts w:ascii="Arial" w:hAnsi="Arial" w:cs="Arial"/>
                <w:sz w:val="22"/>
                <w:szCs w:val="22"/>
              </w:rPr>
              <w:t>andato</w:t>
            </w:r>
            <w:r>
              <w:rPr>
                <w:rFonts w:ascii="Arial" w:hAnsi="Arial" w:cs="Arial"/>
                <w:sz w:val="22"/>
                <w:szCs w:val="22"/>
              </w:rPr>
              <w:t>ry levies</w:t>
            </w:r>
            <w:r w:rsidRPr="008961AC">
              <w:rPr>
                <w:rFonts w:ascii="Arial" w:hAnsi="Arial" w:cs="Arial"/>
                <w:sz w:val="22"/>
                <w:szCs w:val="22"/>
              </w:rPr>
              <w:t>.</w:t>
            </w:r>
          </w:p>
          <w:p w14:paraId="550791D6" w14:textId="77777777" w:rsidR="004819CE" w:rsidRPr="008961AC" w:rsidRDefault="004819CE" w:rsidP="004819CE">
            <w:pPr>
              <w:pStyle w:val="MainText"/>
              <w:numPr>
                <w:ilvl w:val="0"/>
                <w:numId w:val="28"/>
              </w:numPr>
              <w:ind w:left="317"/>
              <w:rPr>
                <w:rFonts w:ascii="Arial" w:hAnsi="Arial" w:cs="Arial"/>
                <w:sz w:val="22"/>
                <w:szCs w:val="22"/>
              </w:rPr>
            </w:pPr>
            <w:r w:rsidRPr="008961AC">
              <w:rPr>
                <w:rFonts w:ascii="Arial" w:hAnsi="Arial" w:cs="Arial"/>
                <w:sz w:val="22"/>
                <w:szCs w:val="22"/>
              </w:rPr>
              <w:t>Council tax freeze grant acceptance should not be considered as a factor.</w:t>
            </w:r>
          </w:p>
          <w:p w14:paraId="1E728FBE" w14:textId="77777777" w:rsidR="004819CE" w:rsidRPr="008961AC" w:rsidRDefault="004819CE" w:rsidP="004819CE">
            <w:pPr>
              <w:pStyle w:val="MainText"/>
              <w:ind w:left="317"/>
              <w:rPr>
                <w:rFonts w:ascii="Arial" w:hAnsi="Arial" w:cs="Arial"/>
                <w:sz w:val="22"/>
                <w:szCs w:val="22"/>
              </w:rPr>
            </w:pPr>
          </w:p>
        </w:tc>
      </w:tr>
      <w:tr w:rsidR="004819CE" w14:paraId="60A3CBFC" w14:textId="77777777" w:rsidTr="004819CE">
        <w:trPr>
          <w:cantSplit/>
        </w:trPr>
        <w:tc>
          <w:tcPr>
            <w:tcW w:w="3888" w:type="dxa"/>
          </w:tcPr>
          <w:p w14:paraId="442A8BC4"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Treatment of sales, fees and charges (SFCs)</w:t>
            </w:r>
          </w:p>
        </w:tc>
        <w:tc>
          <w:tcPr>
            <w:tcW w:w="4961" w:type="dxa"/>
          </w:tcPr>
          <w:p w14:paraId="2F40A696" w14:textId="77777777" w:rsidR="004819CE" w:rsidRPr="00424B59" w:rsidRDefault="004819CE" w:rsidP="004819CE">
            <w:pPr>
              <w:pStyle w:val="MainText"/>
              <w:rPr>
                <w:rFonts w:ascii="Arial" w:hAnsi="Arial" w:cs="Arial"/>
                <w:sz w:val="22"/>
                <w:szCs w:val="22"/>
              </w:rPr>
            </w:pPr>
            <w:r w:rsidRPr="00424B59">
              <w:rPr>
                <w:rFonts w:ascii="Arial" w:hAnsi="Arial" w:cs="Arial"/>
                <w:sz w:val="22"/>
                <w:szCs w:val="22"/>
              </w:rPr>
              <w:t>The Government is expected to prefer to not adjust for SFCs in the same way as council tax.</w:t>
            </w:r>
          </w:p>
        </w:tc>
        <w:tc>
          <w:tcPr>
            <w:tcW w:w="4253" w:type="dxa"/>
          </w:tcPr>
          <w:p w14:paraId="5E438DCD" w14:textId="49B70DA9" w:rsidR="004819CE" w:rsidRPr="00424B59" w:rsidRDefault="004819CE" w:rsidP="0003731A">
            <w:pPr>
              <w:pStyle w:val="MainText"/>
              <w:rPr>
                <w:rFonts w:ascii="Arial" w:hAnsi="Arial" w:cs="Arial"/>
                <w:sz w:val="22"/>
                <w:szCs w:val="22"/>
              </w:rPr>
            </w:pPr>
            <w:r w:rsidRPr="00424B59">
              <w:rPr>
                <w:rFonts w:ascii="Arial" w:hAnsi="Arial" w:cs="Arial"/>
                <w:sz w:val="22"/>
                <w:szCs w:val="22"/>
              </w:rPr>
              <w:t>SFCs should not be adjusted for</w:t>
            </w:r>
            <w:r w:rsidR="0003731A">
              <w:rPr>
                <w:rFonts w:ascii="Arial" w:hAnsi="Arial" w:cs="Arial"/>
                <w:sz w:val="22"/>
                <w:szCs w:val="22"/>
              </w:rPr>
              <w:t>.</w:t>
            </w:r>
          </w:p>
        </w:tc>
      </w:tr>
    </w:tbl>
    <w:p w14:paraId="06D56C93" w14:textId="77777777" w:rsidR="004819CE" w:rsidRDefault="004819CE" w:rsidP="004819CE">
      <w:pPr>
        <w:pStyle w:val="MainText"/>
        <w:ind w:left="360"/>
        <w:rPr>
          <w:rFonts w:ascii="Arial" w:hAnsi="Arial" w:cs="Arial"/>
        </w:rPr>
      </w:pPr>
    </w:p>
    <w:p w14:paraId="44B2F7B4" w14:textId="77777777" w:rsidR="004819CE" w:rsidRDefault="004819CE" w:rsidP="004819CE">
      <w:pPr>
        <w:spacing w:after="160" w:line="259" w:lineRule="auto"/>
        <w:rPr>
          <w:rFonts w:ascii="Arial" w:hAnsi="Arial" w:cs="Arial"/>
        </w:rPr>
        <w:sectPr w:rsidR="004819CE" w:rsidSect="004819CE">
          <w:pgSz w:w="16838" w:h="11906" w:orient="landscape"/>
          <w:pgMar w:top="1440" w:right="1440" w:bottom="1440" w:left="1440" w:header="708" w:footer="708" w:gutter="0"/>
          <w:cols w:space="708"/>
          <w:docGrid w:linePitch="360"/>
        </w:sectPr>
      </w:pPr>
    </w:p>
    <w:p w14:paraId="528B9D17" w14:textId="3B876DEE" w:rsidR="00766459" w:rsidRDefault="077B5CBB" w:rsidP="077B5CBB">
      <w:pPr>
        <w:keepNext/>
        <w:keepLines/>
        <w:rPr>
          <w:rFonts w:ascii="Arial" w:hAnsi="Arial" w:cs="Arial"/>
          <w:b/>
          <w:bCs/>
        </w:rPr>
      </w:pPr>
      <w:r w:rsidRPr="077B5CBB">
        <w:rPr>
          <w:rFonts w:ascii="Arial" w:hAnsi="Arial" w:cs="Arial"/>
          <w:b/>
          <w:bCs/>
        </w:rPr>
        <w:lastRenderedPageBreak/>
        <w:t>Business Rates Retention</w:t>
      </w:r>
    </w:p>
    <w:p w14:paraId="3FF5ACA1" w14:textId="091CE27A" w:rsidR="00935031" w:rsidRDefault="00935031" w:rsidP="001237E9">
      <w:pPr>
        <w:keepNext/>
        <w:keepLines/>
        <w:rPr>
          <w:rFonts w:ascii="Arial" w:hAnsi="Arial" w:cs="Arial"/>
          <w:b/>
          <w:bCs/>
        </w:rPr>
      </w:pPr>
    </w:p>
    <w:p w14:paraId="373DF475" w14:textId="2ECF40F7" w:rsidR="00697FB9" w:rsidRPr="00697FB9" w:rsidRDefault="077B5CBB" w:rsidP="077B5CBB">
      <w:pPr>
        <w:keepNext/>
        <w:keepLines/>
        <w:rPr>
          <w:rFonts w:ascii="Arial" w:hAnsi="Arial" w:cs="Arial"/>
        </w:rPr>
      </w:pPr>
      <w:r w:rsidRPr="077B5CBB">
        <w:rPr>
          <w:rFonts w:ascii="Arial" w:hAnsi="Arial" w:cs="Arial"/>
          <w:u w:val="single"/>
        </w:rPr>
        <w:t>Commissioning a Business Rates Retention model</w:t>
      </w:r>
      <w:r w:rsidRPr="077B5CBB">
        <w:rPr>
          <w:rFonts w:ascii="Arial" w:hAnsi="Arial" w:cs="Arial"/>
        </w:rPr>
        <w:t> </w:t>
      </w:r>
    </w:p>
    <w:p w14:paraId="5ED806F1" w14:textId="40D97202" w:rsidR="00697FB9" w:rsidRPr="00697FB9" w:rsidRDefault="00697FB9" w:rsidP="00697FB9">
      <w:pPr>
        <w:rPr>
          <w:rFonts w:ascii="Arial" w:hAnsi="Arial" w:cs="Arial"/>
        </w:rPr>
      </w:pPr>
    </w:p>
    <w:p w14:paraId="1C3013B0" w14:textId="45393A24" w:rsidR="008677E1" w:rsidRPr="003E6E9B" w:rsidRDefault="008677E1" w:rsidP="003E6E9B">
      <w:pPr>
        <w:pStyle w:val="ListParagraph"/>
        <w:numPr>
          <w:ilvl w:val="0"/>
          <w:numId w:val="1"/>
        </w:numPr>
        <w:rPr>
          <w:rFonts w:ascii="Arial" w:hAnsi="Arial" w:cs="Arial"/>
        </w:rPr>
      </w:pPr>
      <w:r w:rsidRPr="003E6E9B">
        <w:rPr>
          <w:rFonts w:ascii="Arial" w:hAnsi="Arial" w:cs="Arial"/>
        </w:rPr>
        <w:t xml:space="preserve">In April Leadership Board agreed to the LGA commissioning a business rates retention model to enable the effect of possible systems design changes to be estimated.  Following a tendering exercise </w:t>
      </w:r>
      <w:proofErr w:type="spellStart"/>
      <w:r w:rsidRPr="003E6E9B">
        <w:rPr>
          <w:rFonts w:ascii="Arial" w:hAnsi="Arial" w:cs="Arial"/>
        </w:rPr>
        <w:t>LGFutures</w:t>
      </w:r>
      <w:proofErr w:type="spellEnd"/>
      <w:r w:rsidRPr="003E6E9B">
        <w:rPr>
          <w:rFonts w:ascii="Arial" w:hAnsi="Arial" w:cs="Arial"/>
        </w:rPr>
        <w:t xml:space="preserve"> were commissioned to produce the model</w:t>
      </w:r>
      <w:r w:rsidR="00D038A9">
        <w:rPr>
          <w:rFonts w:ascii="Arial" w:hAnsi="Arial" w:cs="Arial"/>
        </w:rPr>
        <w:t xml:space="preserve"> which, following discussion at the Task and Finish group and delegation by the leadership board, was approved for distribution by the chairman and group leaders</w:t>
      </w:r>
      <w:r w:rsidRPr="003E6E9B">
        <w:rPr>
          <w:rFonts w:ascii="Arial" w:hAnsi="Arial" w:cs="Arial"/>
        </w:rPr>
        <w:t xml:space="preserve">. </w:t>
      </w:r>
      <w:r w:rsidR="0040653A">
        <w:rPr>
          <w:rFonts w:ascii="Arial" w:hAnsi="Arial" w:cs="Arial"/>
        </w:rPr>
        <w:t>T</w:t>
      </w:r>
      <w:r w:rsidRPr="003E6E9B">
        <w:rPr>
          <w:rFonts w:ascii="Arial" w:hAnsi="Arial" w:cs="Arial"/>
        </w:rPr>
        <w:t xml:space="preserve">he model is now on the </w:t>
      </w:r>
      <w:hyperlink r:id="rId19" w:history="1">
        <w:r w:rsidRPr="001171F8">
          <w:rPr>
            <w:rStyle w:val="Hyperlink"/>
            <w:rFonts w:ascii="Arial" w:hAnsi="Arial" w:cs="Arial"/>
          </w:rPr>
          <w:t>LGA website</w:t>
        </w:r>
      </w:hyperlink>
      <w:r w:rsidR="0040653A" w:rsidRPr="001171F8">
        <w:rPr>
          <w:rFonts w:ascii="Arial" w:hAnsi="Arial" w:cs="Arial"/>
        </w:rPr>
        <w:t xml:space="preserve"> and has been sent to Leaders, Chief Executives and Chief Finance Officers in all member authorities</w:t>
      </w:r>
      <w:r w:rsidRPr="003E6E9B">
        <w:rPr>
          <w:rFonts w:ascii="Arial" w:hAnsi="Arial" w:cs="Arial"/>
        </w:rPr>
        <w:t xml:space="preserve">. </w:t>
      </w:r>
      <w:r w:rsidR="005D7826">
        <w:rPr>
          <w:rFonts w:ascii="Arial" w:hAnsi="Arial" w:cs="Arial"/>
        </w:rPr>
        <w:t xml:space="preserve"> An update on progress on our additional work programme on Further Business rates Retention and the Fair Funding Review can be found at </w:t>
      </w:r>
      <w:r w:rsidR="005D7826" w:rsidRPr="00C35DFE">
        <w:rPr>
          <w:rFonts w:ascii="Arial" w:hAnsi="Arial" w:cs="Arial"/>
          <w:b/>
        </w:rPr>
        <w:t xml:space="preserve">Appendix </w:t>
      </w:r>
      <w:r w:rsidR="00C35DFE" w:rsidRPr="00C35DFE">
        <w:rPr>
          <w:rFonts w:ascii="Arial" w:hAnsi="Arial" w:cs="Arial"/>
          <w:b/>
        </w:rPr>
        <w:t>2</w:t>
      </w:r>
      <w:r w:rsidR="005D7826">
        <w:rPr>
          <w:rFonts w:ascii="Arial" w:hAnsi="Arial" w:cs="Arial"/>
        </w:rPr>
        <w:t>.</w:t>
      </w:r>
    </w:p>
    <w:p w14:paraId="65459F7E" w14:textId="5A54841D" w:rsidR="00697FB9" w:rsidRPr="00697FB9" w:rsidRDefault="00697FB9" w:rsidP="00697FB9">
      <w:pPr>
        <w:rPr>
          <w:rFonts w:ascii="Arial" w:hAnsi="Arial" w:cs="Arial"/>
        </w:rPr>
      </w:pPr>
    </w:p>
    <w:p w14:paraId="43D141A0" w14:textId="14557B58" w:rsidR="00E53E28" w:rsidRDefault="077B5CBB" w:rsidP="077B5CBB">
      <w:pPr>
        <w:rPr>
          <w:rFonts w:ascii="Arial" w:hAnsi="Arial" w:cs="Arial"/>
          <w:u w:val="single"/>
        </w:rPr>
      </w:pPr>
      <w:r w:rsidRPr="077B5CBB">
        <w:rPr>
          <w:rFonts w:ascii="Arial" w:hAnsi="Arial" w:cs="Arial"/>
          <w:u w:val="single"/>
        </w:rPr>
        <w:t>2019/20 further Business Rates Retention pilots</w:t>
      </w:r>
    </w:p>
    <w:p w14:paraId="3DBE196F" w14:textId="77777777" w:rsidR="00E53E28" w:rsidRPr="00141725" w:rsidRDefault="00E53E28" w:rsidP="00E53E28">
      <w:pPr>
        <w:rPr>
          <w:rFonts w:ascii="Arial" w:hAnsi="Arial" w:cs="Arial"/>
          <w:bCs/>
          <w:u w:val="single"/>
        </w:rPr>
      </w:pPr>
    </w:p>
    <w:p w14:paraId="29AE948F" w14:textId="005639C3" w:rsidR="003C33D2" w:rsidRDefault="00953C48" w:rsidP="003C33D2">
      <w:pPr>
        <w:numPr>
          <w:ilvl w:val="0"/>
          <w:numId w:val="1"/>
        </w:numPr>
        <w:rPr>
          <w:rFonts w:ascii="Arial" w:hAnsi="Arial" w:cs="Arial"/>
          <w:lang w:eastAsia="ja-JP"/>
        </w:rPr>
      </w:pPr>
      <w:r>
        <w:rPr>
          <w:rFonts w:ascii="Arial" w:hAnsi="Arial" w:cs="Arial"/>
          <w:lang w:eastAsia="ja-JP"/>
        </w:rPr>
        <w:t>As previously reported to Leadership Board and Executive, t</w:t>
      </w:r>
      <w:r w:rsidR="003C33D2" w:rsidRPr="003C33D2">
        <w:rPr>
          <w:rFonts w:ascii="Arial" w:hAnsi="Arial" w:cs="Arial"/>
          <w:lang w:eastAsia="ja-JP"/>
        </w:rPr>
        <w:t>he prospectus inviting areas to bid to become a 75 per cent further business rates retention pilot closed on 25 September 2018.  The five 2017/18 devolution pilots will continue at 100 per cent in 2019/20 and there will be separate discussions covering London. Non-London 2018/19 pilots had to reapply if they wish</w:t>
      </w:r>
      <w:r>
        <w:rPr>
          <w:rFonts w:ascii="Arial" w:hAnsi="Arial" w:cs="Arial"/>
          <w:lang w:eastAsia="ja-JP"/>
        </w:rPr>
        <w:t>ed</w:t>
      </w:r>
      <w:r w:rsidR="003C33D2" w:rsidRPr="003C33D2">
        <w:rPr>
          <w:rFonts w:ascii="Arial" w:hAnsi="Arial" w:cs="Arial"/>
          <w:lang w:eastAsia="ja-JP"/>
        </w:rPr>
        <w:t xml:space="preserve"> to be a pilot in 2019/20.  Unlike in 2017/18 and 2018/19 there will not be a no-detriment clause. An announcement </w:t>
      </w:r>
      <w:r>
        <w:rPr>
          <w:rFonts w:ascii="Arial" w:hAnsi="Arial" w:cs="Arial"/>
          <w:lang w:eastAsia="ja-JP"/>
        </w:rPr>
        <w:t xml:space="preserve">on successful pilots </w:t>
      </w:r>
      <w:r w:rsidR="003C33D2" w:rsidRPr="003C33D2">
        <w:rPr>
          <w:rFonts w:ascii="Arial" w:hAnsi="Arial" w:cs="Arial"/>
          <w:lang w:eastAsia="ja-JP"/>
        </w:rPr>
        <w:t>is expected at the time of the Local Government Finance Settlement on 6 December.  Any updates will be given to your meeting.</w:t>
      </w:r>
    </w:p>
    <w:p w14:paraId="31DCBA4A" w14:textId="77777777" w:rsidR="003C33D2" w:rsidRPr="003C33D2" w:rsidRDefault="003C33D2" w:rsidP="003C33D2">
      <w:pPr>
        <w:ind w:left="360"/>
        <w:rPr>
          <w:rFonts w:ascii="Arial" w:hAnsi="Arial" w:cs="Arial"/>
          <w:lang w:eastAsia="ja-JP"/>
        </w:rPr>
      </w:pPr>
    </w:p>
    <w:p w14:paraId="7F8D064F" w14:textId="0F66851C" w:rsidR="00E53E28" w:rsidRPr="00141725" w:rsidRDefault="077B5CBB" w:rsidP="077B5CBB">
      <w:pPr>
        <w:rPr>
          <w:rFonts w:ascii="Arial" w:hAnsi="Arial" w:cs="Arial"/>
        </w:rPr>
      </w:pPr>
      <w:r w:rsidRPr="077B5CBB">
        <w:rPr>
          <w:rFonts w:ascii="Arial" w:hAnsi="Arial" w:cs="Arial"/>
          <w:u w:val="single"/>
        </w:rPr>
        <w:t>Other Business Rates Retention updates</w:t>
      </w:r>
      <w:r w:rsidRPr="077B5CBB">
        <w:rPr>
          <w:rFonts w:ascii="Arial" w:hAnsi="Arial" w:cs="Arial"/>
        </w:rPr>
        <w:t> </w:t>
      </w:r>
    </w:p>
    <w:p w14:paraId="57D1A399" w14:textId="77777777" w:rsidR="00E53E28" w:rsidRDefault="00E53E28" w:rsidP="00AB1B66">
      <w:pPr>
        <w:pStyle w:val="ListParagraph"/>
        <w:spacing w:after="240"/>
        <w:ind w:left="360"/>
        <w:contextualSpacing/>
        <w:rPr>
          <w:rFonts w:ascii="Arial" w:hAnsi="Arial" w:cs="Arial"/>
          <w:lang w:eastAsia="ja-JP"/>
        </w:rPr>
      </w:pPr>
    </w:p>
    <w:p w14:paraId="6CDA6795" w14:textId="77777777" w:rsidR="003C33D2" w:rsidRPr="001D5D2A" w:rsidRDefault="003C33D2" w:rsidP="001B1497">
      <w:pPr>
        <w:pStyle w:val="ListParagraph"/>
        <w:numPr>
          <w:ilvl w:val="0"/>
          <w:numId w:val="1"/>
        </w:numPr>
        <w:rPr>
          <w:rFonts w:ascii="Arial" w:hAnsi="Arial" w:cs="Arial"/>
          <w:szCs w:val="22"/>
        </w:rPr>
      </w:pPr>
      <w:r w:rsidRPr="001D5D2A">
        <w:rPr>
          <w:rFonts w:ascii="Arial" w:hAnsi="Arial" w:cs="Arial"/>
          <w:szCs w:val="22"/>
        </w:rPr>
        <w:t>A consultation paper on business rates retention is expected to be published at around the time of the local government finance settlement on 6 December. Officers expect the following to be covered:</w:t>
      </w:r>
    </w:p>
    <w:p w14:paraId="11C4B0E0" w14:textId="77777777" w:rsidR="003C33D2" w:rsidRPr="001D5D2A" w:rsidRDefault="003C33D2" w:rsidP="001B1497">
      <w:pPr>
        <w:pStyle w:val="ListParagraph"/>
        <w:ind w:left="792"/>
        <w:rPr>
          <w:rFonts w:ascii="Arial" w:hAnsi="Arial" w:cs="Arial"/>
          <w:szCs w:val="22"/>
        </w:rPr>
      </w:pPr>
    </w:p>
    <w:p w14:paraId="41C22AA9" w14:textId="050E5188" w:rsidR="003C33D2" w:rsidRPr="001D5D2A" w:rsidRDefault="003C33D2" w:rsidP="001B1497">
      <w:pPr>
        <w:pStyle w:val="ListParagraph"/>
        <w:numPr>
          <w:ilvl w:val="1"/>
          <w:numId w:val="1"/>
        </w:numPr>
        <w:ind w:left="993" w:hanging="633"/>
        <w:rPr>
          <w:rFonts w:ascii="Arial" w:hAnsi="Arial" w:cs="Arial"/>
          <w:szCs w:val="22"/>
        </w:rPr>
      </w:pPr>
      <w:r w:rsidRPr="001D5D2A">
        <w:rPr>
          <w:rFonts w:ascii="Arial" w:hAnsi="Arial" w:cs="Arial"/>
          <w:szCs w:val="22"/>
        </w:rPr>
        <w:t>Different options for resets</w:t>
      </w:r>
      <w:r>
        <w:rPr>
          <w:rFonts w:ascii="Arial" w:hAnsi="Arial" w:cs="Arial"/>
          <w:szCs w:val="22"/>
        </w:rPr>
        <w:t>;</w:t>
      </w:r>
    </w:p>
    <w:p w14:paraId="50EB7274" w14:textId="77777777" w:rsidR="003C33D2" w:rsidRPr="001D5D2A" w:rsidRDefault="003C33D2" w:rsidP="001B1497">
      <w:pPr>
        <w:pStyle w:val="ListParagraph"/>
        <w:ind w:left="993" w:hanging="633"/>
        <w:rPr>
          <w:rFonts w:ascii="Arial" w:hAnsi="Arial" w:cs="Arial"/>
          <w:szCs w:val="22"/>
        </w:rPr>
      </w:pPr>
    </w:p>
    <w:p w14:paraId="7392BCE8" w14:textId="433D54CC" w:rsidR="003C33D2" w:rsidRPr="001D5D2A" w:rsidRDefault="003C33D2" w:rsidP="001B1497">
      <w:pPr>
        <w:pStyle w:val="ListParagraph"/>
        <w:numPr>
          <w:ilvl w:val="1"/>
          <w:numId w:val="1"/>
        </w:numPr>
        <w:ind w:left="993" w:hanging="633"/>
        <w:rPr>
          <w:rFonts w:ascii="Arial" w:hAnsi="Arial" w:cs="Arial"/>
          <w:bCs/>
        </w:rPr>
      </w:pPr>
      <w:r w:rsidRPr="001D5D2A">
        <w:rPr>
          <w:rFonts w:ascii="Arial" w:hAnsi="Arial" w:cs="Arial"/>
          <w:szCs w:val="22"/>
        </w:rPr>
        <w:t>The safety net</w:t>
      </w:r>
      <w:r>
        <w:rPr>
          <w:rFonts w:ascii="Arial" w:hAnsi="Arial" w:cs="Arial"/>
          <w:szCs w:val="22"/>
        </w:rPr>
        <w:t>;</w:t>
      </w:r>
    </w:p>
    <w:p w14:paraId="5F65F848" w14:textId="77777777" w:rsidR="003C33D2" w:rsidRPr="001D5D2A" w:rsidRDefault="003C33D2" w:rsidP="001B1497">
      <w:pPr>
        <w:pStyle w:val="ListParagraph"/>
        <w:ind w:left="993" w:hanging="633"/>
        <w:rPr>
          <w:rFonts w:ascii="Arial" w:hAnsi="Arial" w:cs="Arial"/>
          <w:bCs/>
        </w:rPr>
      </w:pPr>
    </w:p>
    <w:p w14:paraId="65F2C07D" w14:textId="77777777" w:rsidR="003C33D2" w:rsidRPr="001D5D2A" w:rsidRDefault="003C33D2" w:rsidP="001B1497">
      <w:pPr>
        <w:pStyle w:val="ListParagraph"/>
        <w:numPr>
          <w:ilvl w:val="1"/>
          <w:numId w:val="1"/>
        </w:numPr>
        <w:ind w:left="993" w:hanging="633"/>
        <w:rPr>
          <w:rFonts w:ascii="Arial" w:hAnsi="Arial" w:cs="Arial"/>
          <w:bCs/>
        </w:rPr>
      </w:pPr>
      <w:r w:rsidRPr="001D5D2A">
        <w:rPr>
          <w:rFonts w:ascii="Arial" w:hAnsi="Arial" w:cs="Arial"/>
          <w:bCs/>
        </w:rPr>
        <w:t xml:space="preserve">Options for reforming the levy </w:t>
      </w:r>
      <w:r>
        <w:rPr>
          <w:rFonts w:ascii="Arial" w:hAnsi="Arial" w:cs="Arial"/>
          <w:bCs/>
        </w:rPr>
        <w:t>so that it covers what MHCLG consider to be</w:t>
      </w:r>
      <w:r w:rsidRPr="001D5D2A">
        <w:rPr>
          <w:rFonts w:ascii="Arial" w:hAnsi="Arial" w:cs="Arial"/>
          <w:bCs/>
        </w:rPr>
        <w:t xml:space="preserve"> ‘excessive growth’</w:t>
      </w:r>
      <w:r>
        <w:rPr>
          <w:rFonts w:ascii="Arial" w:hAnsi="Arial" w:cs="Arial"/>
          <w:bCs/>
        </w:rPr>
        <w:t xml:space="preserve"> within the system only</w:t>
      </w:r>
      <w:r w:rsidRPr="001D5D2A">
        <w:rPr>
          <w:rFonts w:ascii="Arial" w:hAnsi="Arial" w:cs="Arial"/>
          <w:bCs/>
        </w:rPr>
        <w:t>;</w:t>
      </w:r>
    </w:p>
    <w:p w14:paraId="2CCF6F8D" w14:textId="77777777" w:rsidR="003C33D2" w:rsidRPr="001D5D2A" w:rsidRDefault="003C33D2" w:rsidP="001B1497">
      <w:pPr>
        <w:pStyle w:val="ListParagraph"/>
        <w:ind w:left="993" w:hanging="633"/>
        <w:rPr>
          <w:rFonts w:ascii="Arial" w:hAnsi="Arial" w:cs="Arial"/>
          <w:bCs/>
        </w:rPr>
      </w:pPr>
    </w:p>
    <w:p w14:paraId="2CF73C88" w14:textId="77777777" w:rsidR="003C33D2" w:rsidRPr="001D5D2A" w:rsidRDefault="003C33D2" w:rsidP="001B1497">
      <w:pPr>
        <w:pStyle w:val="ListParagraph"/>
        <w:numPr>
          <w:ilvl w:val="1"/>
          <w:numId w:val="1"/>
        </w:numPr>
        <w:ind w:left="993" w:hanging="633"/>
        <w:rPr>
          <w:rFonts w:ascii="Arial" w:hAnsi="Arial" w:cs="Arial"/>
          <w:szCs w:val="22"/>
        </w:rPr>
      </w:pPr>
      <w:r w:rsidRPr="001D5D2A">
        <w:rPr>
          <w:rFonts w:ascii="Arial" w:hAnsi="Arial" w:cs="Arial"/>
          <w:szCs w:val="22"/>
        </w:rPr>
        <w:t>Discussion of tier splits, although it is likely to be a decision made later in the process</w:t>
      </w:r>
    </w:p>
    <w:p w14:paraId="23D9EBC0" w14:textId="77777777" w:rsidR="003C33D2" w:rsidRPr="001D5D2A" w:rsidRDefault="003C33D2" w:rsidP="001B1497">
      <w:pPr>
        <w:pStyle w:val="ListParagraph"/>
        <w:ind w:left="993" w:hanging="633"/>
        <w:rPr>
          <w:rFonts w:ascii="Arial" w:hAnsi="Arial" w:cs="Arial"/>
          <w:szCs w:val="22"/>
        </w:rPr>
      </w:pPr>
    </w:p>
    <w:p w14:paraId="7A35DD05" w14:textId="77777777" w:rsidR="003C33D2" w:rsidRPr="001D5D2A" w:rsidRDefault="003C33D2" w:rsidP="001B1497">
      <w:pPr>
        <w:pStyle w:val="ListParagraph"/>
        <w:numPr>
          <w:ilvl w:val="1"/>
          <w:numId w:val="1"/>
        </w:numPr>
        <w:ind w:left="993" w:hanging="633"/>
        <w:rPr>
          <w:rFonts w:ascii="Arial" w:hAnsi="Arial" w:cs="Arial"/>
          <w:szCs w:val="22"/>
        </w:rPr>
      </w:pPr>
      <w:r w:rsidRPr="001D5D2A">
        <w:rPr>
          <w:rFonts w:ascii="Arial" w:hAnsi="Arial" w:cs="Arial"/>
          <w:szCs w:val="22"/>
        </w:rPr>
        <w:t>How to incentivise pooling, with a more targeted levy.</w:t>
      </w:r>
    </w:p>
    <w:p w14:paraId="7F6CF276" w14:textId="77777777" w:rsidR="003C33D2" w:rsidRPr="001D5D2A" w:rsidRDefault="003C33D2" w:rsidP="001B1497">
      <w:pPr>
        <w:pStyle w:val="ListParagraph"/>
        <w:ind w:left="993" w:hanging="633"/>
        <w:rPr>
          <w:rFonts w:ascii="Arial" w:hAnsi="Arial" w:cs="Arial"/>
          <w:szCs w:val="22"/>
        </w:rPr>
      </w:pPr>
    </w:p>
    <w:p w14:paraId="119E9D91" w14:textId="24ED718F" w:rsidR="003C33D2" w:rsidRPr="001D5D2A" w:rsidRDefault="003C33D2" w:rsidP="001B1497">
      <w:pPr>
        <w:pStyle w:val="ListParagraph"/>
        <w:numPr>
          <w:ilvl w:val="1"/>
          <w:numId w:val="1"/>
        </w:numPr>
        <w:ind w:left="993" w:hanging="633"/>
        <w:rPr>
          <w:rFonts w:ascii="Arial" w:hAnsi="Arial" w:cs="Arial"/>
          <w:szCs w:val="22"/>
        </w:rPr>
      </w:pPr>
      <w:r w:rsidRPr="001D5D2A">
        <w:rPr>
          <w:rFonts w:ascii="Arial" w:hAnsi="Arial" w:cs="Arial"/>
          <w:szCs w:val="22"/>
        </w:rPr>
        <w:t>Criteria for property to go on the central or local lists</w:t>
      </w:r>
      <w:r w:rsidR="00FC379E">
        <w:rPr>
          <w:rFonts w:ascii="Arial" w:hAnsi="Arial" w:cs="Arial"/>
          <w:szCs w:val="22"/>
        </w:rPr>
        <w:t xml:space="preserve"> and an invitation</w:t>
      </w:r>
      <w:r w:rsidRPr="001D5D2A">
        <w:rPr>
          <w:rFonts w:ascii="Arial" w:hAnsi="Arial" w:cs="Arial"/>
          <w:szCs w:val="22"/>
        </w:rPr>
        <w:t xml:space="preserve"> to identify hereditaments which </w:t>
      </w:r>
      <w:r w:rsidR="00FC379E">
        <w:rPr>
          <w:rFonts w:ascii="Arial" w:hAnsi="Arial" w:cs="Arial"/>
          <w:szCs w:val="22"/>
        </w:rPr>
        <w:t>authorities</w:t>
      </w:r>
      <w:r w:rsidR="00FC379E" w:rsidRPr="001D5D2A">
        <w:rPr>
          <w:rFonts w:ascii="Arial" w:hAnsi="Arial" w:cs="Arial"/>
          <w:szCs w:val="22"/>
        </w:rPr>
        <w:t xml:space="preserve"> </w:t>
      </w:r>
      <w:r w:rsidRPr="001D5D2A">
        <w:rPr>
          <w:rFonts w:ascii="Arial" w:hAnsi="Arial" w:cs="Arial"/>
          <w:szCs w:val="22"/>
        </w:rPr>
        <w:t>think should change lists under the proposed criteria.</w:t>
      </w:r>
    </w:p>
    <w:p w14:paraId="0D0F9188" w14:textId="77777777" w:rsidR="003C33D2" w:rsidRPr="001D5D2A" w:rsidRDefault="003C33D2" w:rsidP="001B1497">
      <w:pPr>
        <w:pStyle w:val="ListParagraph"/>
        <w:rPr>
          <w:rFonts w:ascii="Arial" w:hAnsi="Arial" w:cs="Arial"/>
          <w:szCs w:val="22"/>
        </w:rPr>
      </w:pPr>
    </w:p>
    <w:p w14:paraId="294EB752" w14:textId="77777777" w:rsidR="003C33D2" w:rsidRDefault="003C33D2" w:rsidP="001B1497">
      <w:pPr>
        <w:pStyle w:val="ListParagraph"/>
        <w:numPr>
          <w:ilvl w:val="0"/>
          <w:numId w:val="1"/>
        </w:numPr>
        <w:rPr>
          <w:rFonts w:ascii="Arial" w:hAnsi="Arial" w:cs="Arial"/>
          <w:szCs w:val="22"/>
        </w:rPr>
      </w:pPr>
      <w:r>
        <w:rPr>
          <w:rFonts w:ascii="Arial" w:hAnsi="Arial" w:cs="Arial"/>
          <w:szCs w:val="22"/>
        </w:rPr>
        <w:t>It is also expected that an alternative further business rates retention system will be included in the consultation document.  Briefly:</w:t>
      </w:r>
    </w:p>
    <w:p w14:paraId="3EA44EBC" w14:textId="6DE1C47C" w:rsidR="003C33D2" w:rsidRDefault="006701D7" w:rsidP="001B1497">
      <w:pPr>
        <w:pStyle w:val="ListParagraph"/>
        <w:numPr>
          <w:ilvl w:val="1"/>
          <w:numId w:val="1"/>
        </w:numPr>
        <w:ind w:left="993" w:hanging="633"/>
        <w:rPr>
          <w:rFonts w:ascii="Arial" w:hAnsi="Arial" w:cs="Arial"/>
          <w:szCs w:val="22"/>
        </w:rPr>
      </w:pPr>
      <w:r>
        <w:rPr>
          <w:rFonts w:ascii="Arial" w:hAnsi="Arial" w:cs="Arial"/>
          <w:szCs w:val="22"/>
        </w:rPr>
        <w:lastRenderedPageBreak/>
        <w:t xml:space="preserve">There </w:t>
      </w:r>
      <w:r w:rsidR="003C33D2">
        <w:rPr>
          <w:rFonts w:ascii="Arial" w:hAnsi="Arial" w:cs="Arial"/>
          <w:szCs w:val="22"/>
        </w:rPr>
        <w:t>would be separate calculations of (</w:t>
      </w:r>
      <w:proofErr w:type="spellStart"/>
      <w:r w:rsidR="003C33D2">
        <w:rPr>
          <w:rFonts w:ascii="Arial" w:hAnsi="Arial" w:cs="Arial"/>
          <w:szCs w:val="22"/>
        </w:rPr>
        <w:t>i</w:t>
      </w:r>
      <w:proofErr w:type="spellEnd"/>
      <w:r w:rsidR="003C33D2">
        <w:rPr>
          <w:rFonts w:ascii="Arial" w:hAnsi="Arial" w:cs="Arial"/>
          <w:szCs w:val="22"/>
        </w:rPr>
        <w:t xml:space="preserve">) the amount of business rates that authorities would need in order to </w:t>
      </w:r>
      <w:r>
        <w:rPr>
          <w:rFonts w:ascii="Arial" w:hAnsi="Arial" w:cs="Arial"/>
          <w:szCs w:val="22"/>
        </w:rPr>
        <w:t xml:space="preserve">reach their </w:t>
      </w:r>
      <w:r w:rsidR="00AD1442">
        <w:rPr>
          <w:rFonts w:ascii="Arial" w:hAnsi="Arial" w:cs="Arial"/>
          <w:szCs w:val="22"/>
        </w:rPr>
        <w:t>f</w:t>
      </w:r>
      <w:r>
        <w:rPr>
          <w:rFonts w:ascii="Arial" w:hAnsi="Arial" w:cs="Arial"/>
          <w:szCs w:val="22"/>
        </w:rPr>
        <w:t xml:space="preserve">unding </w:t>
      </w:r>
      <w:r w:rsidR="00AD1442">
        <w:rPr>
          <w:rFonts w:ascii="Arial" w:hAnsi="Arial" w:cs="Arial"/>
          <w:szCs w:val="22"/>
        </w:rPr>
        <w:t xml:space="preserve">baseline </w:t>
      </w:r>
      <w:r w:rsidR="003C33D2">
        <w:rPr>
          <w:rFonts w:ascii="Arial" w:hAnsi="Arial" w:cs="Arial"/>
          <w:szCs w:val="22"/>
        </w:rPr>
        <w:t>(ii) the amount of business rates they would retain as a result of growth or any decline in the system</w:t>
      </w:r>
      <w:r>
        <w:rPr>
          <w:rFonts w:ascii="Arial" w:hAnsi="Arial" w:cs="Arial"/>
          <w:szCs w:val="22"/>
        </w:rPr>
        <w:t xml:space="preserve">. </w:t>
      </w:r>
      <w:r w:rsidR="003C33D2">
        <w:rPr>
          <w:rFonts w:ascii="Arial" w:hAnsi="Arial" w:cs="Arial"/>
          <w:szCs w:val="22"/>
        </w:rPr>
        <w:t>These would feed into a</w:t>
      </w:r>
      <w:r w:rsidR="0009530B">
        <w:rPr>
          <w:rFonts w:ascii="Arial" w:hAnsi="Arial" w:cs="Arial"/>
          <w:szCs w:val="22"/>
        </w:rPr>
        <w:t>n annual</w:t>
      </w:r>
      <w:r w:rsidR="003C33D2">
        <w:rPr>
          <w:rFonts w:ascii="Arial" w:hAnsi="Arial" w:cs="Arial"/>
          <w:szCs w:val="22"/>
        </w:rPr>
        <w:t xml:space="preserve"> single tariff/top-up</w:t>
      </w:r>
      <w:r w:rsidRPr="00AD1442">
        <w:rPr>
          <w:rFonts w:ascii="Arial" w:hAnsi="Arial" w:cs="Arial"/>
          <w:szCs w:val="22"/>
        </w:rPr>
        <w:t>.</w:t>
      </w:r>
    </w:p>
    <w:p w14:paraId="5B952B0E" w14:textId="77777777" w:rsidR="001B1497" w:rsidRDefault="001B1497" w:rsidP="001B1497">
      <w:pPr>
        <w:pStyle w:val="ListParagraph"/>
        <w:ind w:left="993"/>
        <w:rPr>
          <w:rFonts w:ascii="Arial" w:hAnsi="Arial" w:cs="Arial"/>
          <w:szCs w:val="22"/>
        </w:rPr>
      </w:pPr>
    </w:p>
    <w:p w14:paraId="406D686D" w14:textId="77777777" w:rsidR="003C33D2" w:rsidRDefault="003C33D2" w:rsidP="001B1497">
      <w:pPr>
        <w:pStyle w:val="ListParagraph"/>
        <w:numPr>
          <w:ilvl w:val="1"/>
          <w:numId w:val="1"/>
        </w:numPr>
        <w:ind w:left="993" w:hanging="633"/>
        <w:rPr>
          <w:rFonts w:ascii="Arial" w:hAnsi="Arial" w:cs="Arial"/>
          <w:szCs w:val="22"/>
        </w:rPr>
      </w:pPr>
      <w:r>
        <w:rPr>
          <w:rFonts w:ascii="Arial" w:hAnsi="Arial" w:cs="Arial"/>
          <w:szCs w:val="22"/>
        </w:rPr>
        <w:t>The Government believe this would enable the impact of appeals and provisions to be stripped out ensuring that the benefits of growth are not reduced by larger than anticipated appeals or misjudgements about the level of provisions. This would be an alternative to the previous proposal for ‘nationalising’ appeal risk which MHCLG do not believe it is possible to achieve without great complexity.</w:t>
      </w:r>
    </w:p>
    <w:p w14:paraId="04A1AC01" w14:textId="77777777" w:rsidR="001B1497" w:rsidRDefault="001B1497" w:rsidP="001B1497">
      <w:pPr>
        <w:pStyle w:val="ListParagraph"/>
        <w:ind w:left="993"/>
        <w:rPr>
          <w:rFonts w:ascii="Arial" w:hAnsi="Arial" w:cs="Arial"/>
          <w:szCs w:val="22"/>
        </w:rPr>
      </w:pPr>
    </w:p>
    <w:p w14:paraId="404BE72D" w14:textId="77777777" w:rsidR="003C33D2" w:rsidRDefault="003C33D2" w:rsidP="001B1497">
      <w:pPr>
        <w:pStyle w:val="ListParagraph"/>
        <w:numPr>
          <w:ilvl w:val="0"/>
          <w:numId w:val="1"/>
        </w:numPr>
        <w:rPr>
          <w:rFonts w:ascii="Arial" w:hAnsi="Arial" w:cs="Arial"/>
          <w:szCs w:val="22"/>
        </w:rPr>
      </w:pPr>
      <w:r>
        <w:rPr>
          <w:rFonts w:ascii="Arial" w:hAnsi="Arial" w:cs="Arial"/>
          <w:szCs w:val="22"/>
        </w:rPr>
        <w:t>The proposal has been discussed by two joint meetings of the Systems Design Working Group and Implementation Working Group and also by the Business Rates Steering Group. It has also been discussed by the LGA’s Task and Finish Group on Business Rates Retention and the Fair Funding Review.  Their reaction was that alternative approach is worthy of further investigation.  This includes:</w:t>
      </w:r>
    </w:p>
    <w:p w14:paraId="05B92F1D" w14:textId="77777777" w:rsidR="001B1497" w:rsidRDefault="001B1497" w:rsidP="001B1497">
      <w:pPr>
        <w:pStyle w:val="ListParagraph"/>
        <w:ind w:left="360"/>
        <w:rPr>
          <w:rFonts w:ascii="Arial" w:hAnsi="Arial" w:cs="Arial"/>
          <w:szCs w:val="22"/>
        </w:rPr>
      </w:pPr>
    </w:p>
    <w:p w14:paraId="3AF0916C" w14:textId="77777777" w:rsidR="003C33D2" w:rsidRDefault="003C33D2" w:rsidP="001B1497">
      <w:pPr>
        <w:pStyle w:val="ListParagraph"/>
        <w:numPr>
          <w:ilvl w:val="1"/>
          <w:numId w:val="1"/>
        </w:numPr>
        <w:ind w:left="993" w:hanging="633"/>
        <w:rPr>
          <w:rFonts w:ascii="Arial" w:hAnsi="Arial" w:cs="Arial"/>
          <w:szCs w:val="22"/>
        </w:rPr>
      </w:pPr>
      <w:r>
        <w:rPr>
          <w:rFonts w:ascii="Arial" w:hAnsi="Arial" w:cs="Arial"/>
          <w:szCs w:val="22"/>
        </w:rPr>
        <w:t>How it can be explained more simply;</w:t>
      </w:r>
    </w:p>
    <w:p w14:paraId="2C510DDB" w14:textId="77777777" w:rsidR="001B1497" w:rsidRDefault="001B1497" w:rsidP="001B1497">
      <w:pPr>
        <w:pStyle w:val="ListParagraph"/>
        <w:ind w:left="993"/>
        <w:rPr>
          <w:rFonts w:ascii="Arial" w:hAnsi="Arial" w:cs="Arial"/>
          <w:szCs w:val="22"/>
        </w:rPr>
      </w:pPr>
    </w:p>
    <w:p w14:paraId="3A07C18A" w14:textId="4FF09C2B" w:rsidR="003C33D2" w:rsidRDefault="003C33D2" w:rsidP="001B1497">
      <w:pPr>
        <w:pStyle w:val="ListParagraph"/>
        <w:numPr>
          <w:ilvl w:val="1"/>
          <w:numId w:val="1"/>
        </w:numPr>
        <w:ind w:left="993" w:hanging="633"/>
        <w:rPr>
          <w:rFonts w:ascii="Arial" w:hAnsi="Arial" w:cs="Arial"/>
          <w:szCs w:val="22"/>
        </w:rPr>
      </w:pPr>
      <w:r>
        <w:rPr>
          <w:rFonts w:ascii="Arial" w:hAnsi="Arial" w:cs="Arial"/>
          <w:szCs w:val="22"/>
        </w:rPr>
        <w:t>Ensuring that the system is operated is transparent including how it compensates for appeals, and the level of business rates and growth kept locally and nationally;</w:t>
      </w:r>
      <w:r w:rsidR="001B1497">
        <w:rPr>
          <w:rFonts w:ascii="Arial" w:hAnsi="Arial" w:cs="Arial"/>
          <w:szCs w:val="22"/>
        </w:rPr>
        <w:t xml:space="preserve"> and</w:t>
      </w:r>
    </w:p>
    <w:p w14:paraId="0ACC0536" w14:textId="77777777" w:rsidR="001B1497" w:rsidRDefault="001B1497" w:rsidP="001B1497">
      <w:pPr>
        <w:pStyle w:val="ListParagraph"/>
        <w:ind w:left="993"/>
        <w:rPr>
          <w:rFonts w:ascii="Arial" w:hAnsi="Arial" w:cs="Arial"/>
          <w:szCs w:val="22"/>
        </w:rPr>
      </w:pPr>
    </w:p>
    <w:p w14:paraId="569894C9" w14:textId="77777777" w:rsidR="003C33D2" w:rsidRDefault="003C33D2" w:rsidP="001B1497">
      <w:pPr>
        <w:pStyle w:val="ListParagraph"/>
        <w:numPr>
          <w:ilvl w:val="1"/>
          <w:numId w:val="1"/>
        </w:numPr>
        <w:ind w:left="993" w:hanging="633"/>
        <w:rPr>
          <w:rFonts w:ascii="Arial" w:hAnsi="Arial" w:cs="Arial"/>
          <w:szCs w:val="22"/>
        </w:rPr>
      </w:pPr>
      <w:r>
        <w:rPr>
          <w:rFonts w:ascii="Arial" w:hAnsi="Arial" w:cs="Arial"/>
          <w:szCs w:val="22"/>
        </w:rPr>
        <w:t>Modelling to demonstrate it can achieve the above without unintended consequences.</w:t>
      </w:r>
    </w:p>
    <w:p w14:paraId="562C98DE" w14:textId="77777777" w:rsidR="001B1497" w:rsidRPr="001D5D2A" w:rsidRDefault="001B1497" w:rsidP="001B1497">
      <w:pPr>
        <w:pStyle w:val="ListParagraph"/>
        <w:ind w:left="993"/>
        <w:rPr>
          <w:rFonts w:ascii="Arial" w:hAnsi="Arial" w:cs="Arial"/>
          <w:szCs w:val="22"/>
        </w:rPr>
      </w:pPr>
    </w:p>
    <w:p w14:paraId="68327E29" w14:textId="30F77FF5" w:rsidR="004A6168" w:rsidRDefault="0066391B" w:rsidP="001B1497">
      <w:pPr>
        <w:pStyle w:val="ListParagraph"/>
        <w:numPr>
          <w:ilvl w:val="0"/>
          <w:numId w:val="1"/>
        </w:numPr>
        <w:rPr>
          <w:rFonts w:ascii="Arial" w:hAnsi="Arial" w:cs="Arial"/>
          <w:lang w:eastAsia="ja-JP"/>
        </w:rPr>
      </w:pPr>
      <w:r>
        <w:rPr>
          <w:rFonts w:ascii="Arial" w:hAnsi="Arial" w:cs="Arial"/>
          <w:lang w:eastAsia="ja-JP"/>
        </w:rPr>
        <w:t>We have asked MHCLG to provide the above as part of the forthcoming consultation on Further Business Rates Retention and we will discuss the alternative model with the Task and Finish Group again as part of LGA discussions of the forthcoming consultation.  Following those discussions we intend to cover this issue, including any recommendations from the Task and Finish Group, at the next meetings of Leadership Board and Executive.</w:t>
      </w:r>
    </w:p>
    <w:p w14:paraId="66575F72" w14:textId="77777777" w:rsidR="001B1497" w:rsidRPr="004A6168" w:rsidRDefault="001B1497" w:rsidP="001B1497">
      <w:pPr>
        <w:pStyle w:val="ListParagraph"/>
        <w:ind w:left="360"/>
        <w:rPr>
          <w:rFonts w:ascii="Arial" w:hAnsi="Arial" w:cs="Arial"/>
          <w:lang w:eastAsia="ja-JP"/>
        </w:rPr>
      </w:pPr>
    </w:p>
    <w:p w14:paraId="62E17713" w14:textId="26B45A8B" w:rsidR="00B27ADD" w:rsidRDefault="00B27ADD" w:rsidP="077B5CBB">
      <w:pPr>
        <w:rPr>
          <w:rFonts w:ascii="Arial" w:hAnsi="Arial" w:cs="Arial"/>
          <w:b/>
          <w:bCs/>
        </w:rPr>
      </w:pPr>
      <w:r>
        <w:rPr>
          <w:rFonts w:ascii="Arial" w:hAnsi="Arial" w:cs="Arial"/>
          <w:b/>
          <w:bCs/>
        </w:rPr>
        <w:t>Next steps</w:t>
      </w:r>
    </w:p>
    <w:p w14:paraId="1FC6BFAF" w14:textId="77777777" w:rsidR="00B27ADD" w:rsidRDefault="00B27ADD" w:rsidP="077B5CBB">
      <w:pPr>
        <w:rPr>
          <w:rFonts w:ascii="Arial" w:hAnsi="Arial" w:cs="Arial"/>
          <w:b/>
          <w:bCs/>
        </w:rPr>
      </w:pPr>
    </w:p>
    <w:p w14:paraId="580CC1B2" w14:textId="05521E38" w:rsidR="00B27ADD" w:rsidRPr="003C33D2" w:rsidRDefault="00B27ADD" w:rsidP="003C33D2">
      <w:pPr>
        <w:pStyle w:val="ListParagraph"/>
        <w:numPr>
          <w:ilvl w:val="0"/>
          <w:numId w:val="1"/>
        </w:numPr>
        <w:spacing w:after="120"/>
        <w:rPr>
          <w:rFonts w:ascii="Arial" w:hAnsi="Arial" w:cs="Arial"/>
          <w:szCs w:val="22"/>
        </w:rPr>
      </w:pPr>
      <w:r w:rsidRPr="003C33D2">
        <w:rPr>
          <w:rFonts w:ascii="Arial" w:hAnsi="Arial" w:cs="Arial"/>
          <w:szCs w:val="22"/>
        </w:rPr>
        <w:t xml:space="preserve">Officers will use the views expressed by LGA Leadership Board on the content of table 1 and </w:t>
      </w:r>
      <w:r w:rsidRPr="00C35DFE">
        <w:rPr>
          <w:rFonts w:ascii="Arial" w:hAnsi="Arial" w:cs="Arial"/>
          <w:b/>
          <w:szCs w:val="22"/>
        </w:rPr>
        <w:t xml:space="preserve">Appendix </w:t>
      </w:r>
      <w:r w:rsidR="00C35DFE" w:rsidRPr="00C35DFE">
        <w:rPr>
          <w:rFonts w:ascii="Arial" w:hAnsi="Arial" w:cs="Arial"/>
          <w:b/>
          <w:szCs w:val="22"/>
        </w:rPr>
        <w:t>1</w:t>
      </w:r>
      <w:r w:rsidRPr="003C33D2">
        <w:rPr>
          <w:rFonts w:ascii="Arial" w:hAnsi="Arial" w:cs="Arial"/>
          <w:szCs w:val="22"/>
        </w:rPr>
        <w:t xml:space="preserve"> to draft a response to the upcoming Government consultation on the Fair Funding Review.</w:t>
      </w:r>
    </w:p>
    <w:p w14:paraId="61A40040" w14:textId="77777777" w:rsidR="00B27ADD" w:rsidRDefault="00B27ADD" w:rsidP="003C33D2">
      <w:pPr>
        <w:pStyle w:val="ListParagraph"/>
        <w:numPr>
          <w:ilvl w:val="0"/>
          <w:numId w:val="1"/>
        </w:numPr>
        <w:spacing w:after="120"/>
        <w:rPr>
          <w:rFonts w:ascii="Arial" w:hAnsi="Arial" w:cs="Arial"/>
          <w:szCs w:val="22"/>
        </w:rPr>
      </w:pPr>
      <w:r w:rsidRPr="003C33D2">
        <w:rPr>
          <w:rFonts w:ascii="Arial" w:hAnsi="Arial" w:cs="Arial"/>
          <w:szCs w:val="22"/>
        </w:rPr>
        <w:t>More widely, officers will proceed with delivery of the LGA work programme on Business Rates Retention and the Fair Funding Review as directed by the LGA Leadership Board, Executive and the Business Rates Retention and Fair Funding Review Task and Finish Group.</w:t>
      </w:r>
    </w:p>
    <w:p w14:paraId="40F584D6" w14:textId="77777777" w:rsidR="001B1497" w:rsidRPr="003C33D2" w:rsidRDefault="001B1497" w:rsidP="001B1497">
      <w:pPr>
        <w:pStyle w:val="ListParagraph"/>
        <w:ind w:left="357"/>
        <w:rPr>
          <w:rFonts w:ascii="Arial" w:hAnsi="Arial" w:cs="Arial"/>
          <w:szCs w:val="22"/>
        </w:rPr>
      </w:pPr>
    </w:p>
    <w:p w14:paraId="1CAC3322" w14:textId="1D58B25C" w:rsidR="004C3803" w:rsidRPr="002048CA" w:rsidRDefault="077B5CBB" w:rsidP="077B5CBB">
      <w:pPr>
        <w:rPr>
          <w:rFonts w:ascii="Arial" w:hAnsi="Arial" w:cs="Arial"/>
          <w:b/>
          <w:bCs/>
        </w:rPr>
      </w:pPr>
      <w:r w:rsidRPr="077B5CBB">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792881FB" w:rsidR="004C3803" w:rsidRPr="003C33D2" w:rsidRDefault="077B5CBB" w:rsidP="003C33D2">
      <w:pPr>
        <w:pStyle w:val="ListParagraph"/>
        <w:numPr>
          <w:ilvl w:val="0"/>
          <w:numId w:val="1"/>
        </w:numPr>
        <w:spacing w:after="120"/>
        <w:rPr>
          <w:rFonts w:ascii="Arial" w:hAnsi="Arial" w:cs="Arial"/>
          <w:szCs w:val="22"/>
        </w:rPr>
      </w:pPr>
      <w:r w:rsidRPr="003C33D2">
        <w:rPr>
          <w:rFonts w:ascii="Arial" w:hAnsi="Arial" w:cs="Arial"/>
          <w:szCs w:val="22"/>
        </w:rPr>
        <w:t xml:space="preserve">There are no direct implications for Wales arising from this report as Business Rates Retention and the Fair Funding Review apply to England. The distribution of funding to Welsh local authorities is a devolved matter in Wales. </w:t>
      </w:r>
    </w:p>
    <w:p w14:paraId="73B4C10E" w14:textId="05771A54" w:rsidR="007C7C73" w:rsidRDefault="007C7C73" w:rsidP="077B5CBB">
      <w:pPr>
        <w:rPr>
          <w:rFonts w:ascii="Arial" w:hAnsi="Arial" w:cs="Arial"/>
          <w:b/>
          <w:bCs/>
        </w:rPr>
      </w:pPr>
    </w:p>
    <w:p w14:paraId="2FC047B6" w14:textId="6E294911" w:rsidR="00483785" w:rsidRPr="002048CA" w:rsidRDefault="077B5CBB" w:rsidP="001833E2">
      <w:pPr>
        <w:keepNext/>
        <w:keepLines/>
        <w:rPr>
          <w:rFonts w:ascii="Arial" w:hAnsi="Arial" w:cs="Arial"/>
          <w:b/>
          <w:bCs/>
        </w:rPr>
      </w:pPr>
      <w:r w:rsidRPr="077B5CBB">
        <w:rPr>
          <w:rFonts w:ascii="Arial" w:hAnsi="Arial" w:cs="Arial"/>
          <w:b/>
          <w:bCs/>
        </w:rPr>
        <w:lastRenderedPageBreak/>
        <w:t>Financial implications</w:t>
      </w:r>
    </w:p>
    <w:p w14:paraId="7E3FBC57" w14:textId="77777777" w:rsidR="00483785" w:rsidRPr="008313ED" w:rsidRDefault="00483785" w:rsidP="001833E2">
      <w:pPr>
        <w:pStyle w:val="ListParagraph"/>
        <w:keepNext/>
        <w:keepLines/>
        <w:spacing w:after="240"/>
        <w:ind w:left="360"/>
        <w:contextualSpacing/>
        <w:rPr>
          <w:rFonts w:ascii="Arial" w:hAnsi="Arial" w:cs="Arial"/>
        </w:rPr>
      </w:pPr>
    </w:p>
    <w:p w14:paraId="2E633B83" w14:textId="4482E014" w:rsidR="00935031" w:rsidRPr="003C33D2" w:rsidRDefault="077B5CBB" w:rsidP="003C33D2">
      <w:pPr>
        <w:pStyle w:val="ListParagraph"/>
        <w:numPr>
          <w:ilvl w:val="0"/>
          <w:numId w:val="1"/>
        </w:numPr>
        <w:spacing w:after="120"/>
        <w:rPr>
          <w:rFonts w:ascii="Arial" w:hAnsi="Arial" w:cs="Arial"/>
          <w:szCs w:val="22"/>
        </w:rPr>
      </w:pPr>
      <w:r w:rsidRPr="003C33D2">
        <w:rPr>
          <w:rFonts w:ascii="Arial" w:hAnsi="Arial" w:cs="Arial"/>
          <w:szCs w:val="22"/>
        </w:rPr>
        <w:t>Members of Leadership Board have previously approved spending of LGA reserves on the LGA work programme on the Fair Funding Review and a Business Rates Retention model</w:t>
      </w:r>
      <w:r w:rsidR="003871DA">
        <w:rPr>
          <w:rFonts w:ascii="Arial" w:hAnsi="Arial" w:cs="Arial"/>
          <w:szCs w:val="22"/>
        </w:rPr>
        <w:t xml:space="preserve"> (as set out in </w:t>
      </w:r>
      <w:r w:rsidR="003871DA" w:rsidRPr="00C35DFE">
        <w:rPr>
          <w:rFonts w:ascii="Arial" w:hAnsi="Arial" w:cs="Arial"/>
          <w:b/>
          <w:szCs w:val="22"/>
        </w:rPr>
        <w:t xml:space="preserve">Appendix </w:t>
      </w:r>
      <w:r w:rsidR="00C35DFE" w:rsidRPr="00C35DFE">
        <w:rPr>
          <w:rFonts w:ascii="Arial" w:hAnsi="Arial" w:cs="Arial"/>
          <w:b/>
          <w:szCs w:val="22"/>
        </w:rPr>
        <w:t>2</w:t>
      </w:r>
      <w:r w:rsidR="003871DA">
        <w:rPr>
          <w:rFonts w:ascii="Arial" w:hAnsi="Arial" w:cs="Arial"/>
          <w:szCs w:val="22"/>
        </w:rPr>
        <w:t>)</w:t>
      </w:r>
      <w:r w:rsidRPr="003C33D2">
        <w:rPr>
          <w:rFonts w:ascii="Arial" w:hAnsi="Arial" w:cs="Arial"/>
          <w:szCs w:val="22"/>
        </w:rPr>
        <w:t>.</w:t>
      </w:r>
    </w:p>
    <w:p w14:paraId="6AE7941C" w14:textId="55B33242" w:rsidR="00E76BCF" w:rsidRPr="00ED561E" w:rsidRDefault="077B5CBB" w:rsidP="003C33D2">
      <w:pPr>
        <w:pStyle w:val="ListParagraph"/>
        <w:numPr>
          <w:ilvl w:val="0"/>
          <w:numId w:val="1"/>
        </w:numPr>
        <w:spacing w:after="120"/>
        <w:rPr>
          <w:rFonts w:ascii="Arial" w:hAnsi="Arial" w:cs="Arial"/>
        </w:rPr>
      </w:pPr>
      <w:r w:rsidRPr="003C33D2">
        <w:rPr>
          <w:rFonts w:ascii="Arial" w:hAnsi="Arial" w:cs="Arial"/>
          <w:szCs w:val="22"/>
        </w:rPr>
        <w:t>Other work outlined in the paper above is part of the LGA’s core programme of work and as such has been budgeted for in the</w:t>
      </w:r>
      <w:bookmarkStart w:id="2" w:name="_GoBack"/>
      <w:bookmarkEnd w:id="2"/>
      <w:r w:rsidRPr="003C33D2">
        <w:rPr>
          <w:rFonts w:ascii="Arial" w:hAnsi="Arial" w:cs="Arial"/>
          <w:szCs w:val="22"/>
        </w:rPr>
        <w:t xml:space="preserve"> 2018/19 budget.</w:t>
      </w:r>
      <w:r w:rsidR="6E3855E1" w:rsidRPr="077B5CBB">
        <w:rPr>
          <w:rFonts w:ascii="Arial" w:hAnsi="Arial" w:cs="Arial"/>
        </w:rPr>
        <w:br w:type="page"/>
      </w:r>
    </w:p>
    <w:p w14:paraId="3BD56E97" w14:textId="77777777" w:rsidR="004819CE" w:rsidRDefault="004819CE" w:rsidP="077B5CBB">
      <w:pPr>
        <w:contextualSpacing/>
        <w:jc w:val="both"/>
        <w:rPr>
          <w:rFonts w:ascii="Arial" w:hAnsi="Arial" w:cs="Arial"/>
          <w:b/>
          <w:bCs/>
        </w:rPr>
      </w:pPr>
    </w:p>
    <w:p w14:paraId="46EF2425" w14:textId="08652E6F" w:rsidR="004819CE" w:rsidRDefault="004819CE">
      <w:pPr>
        <w:spacing w:after="160" w:line="259" w:lineRule="auto"/>
        <w:rPr>
          <w:rFonts w:ascii="Arial" w:hAnsi="Arial" w:cs="Arial"/>
          <w:b/>
          <w:bCs/>
        </w:rPr>
      </w:pPr>
      <w:r>
        <w:rPr>
          <w:rFonts w:ascii="Arial" w:hAnsi="Arial" w:cs="Arial"/>
          <w:b/>
          <w:bCs/>
        </w:rPr>
        <w:t xml:space="preserve">Appendix </w:t>
      </w:r>
      <w:r w:rsidR="00C35DFE">
        <w:rPr>
          <w:rFonts w:ascii="Arial" w:hAnsi="Arial" w:cs="Arial"/>
          <w:b/>
          <w:bCs/>
        </w:rPr>
        <w:t>1</w:t>
      </w:r>
      <w:r>
        <w:rPr>
          <w:rFonts w:ascii="Arial" w:hAnsi="Arial" w:cs="Arial"/>
          <w:b/>
          <w:bCs/>
        </w:rPr>
        <w:t xml:space="preserve">. Further commentary on </w:t>
      </w:r>
      <w:r w:rsidR="00480633">
        <w:rPr>
          <w:rFonts w:ascii="Arial" w:hAnsi="Arial" w:cs="Arial"/>
          <w:b/>
          <w:bCs/>
        </w:rPr>
        <w:t xml:space="preserve">Task and Finish Group proposed </w:t>
      </w:r>
      <w:r>
        <w:rPr>
          <w:rFonts w:ascii="Arial" w:hAnsi="Arial" w:cs="Arial"/>
          <w:b/>
          <w:bCs/>
        </w:rPr>
        <w:t xml:space="preserve">policy positions </w:t>
      </w:r>
      <w:r w:rsidR="00480633">
        <w:rPr>
          <w:rFonts w:ascii="Arial" w:hAnsi="Arial" w:cs="Arial"/>
          <w:b/>
          <w:bCs/>
        </w:rPr>
        <w:t xml:space="preserve">on the </w:t>
      </w:r>
      <w:r>
        <w:rPr>
          <w:rFonts w:ascii="Arial" w:hAnsi="Arial" w:cs="Arial"/>
          <w:b/>
          <w:bCs/>
        </w:rPr>
        <w:t xml:space="preserve">relative resources </w:t>
      </w:r>
      <w:r w:rsidR="00480633">
        <w:rPr>
          <w:rFonts w:ascii="Arial" w:hAnsi="Arial" w:cs="Arial"/>
          <w:b/>
          <w:bCs/>
        </w:rPr>
        <w:t xml:space="preserve">adjustment </w:t>
      </w:r>
      <w:r>
        <w:rPr>
          <w:rFonts w:ascii="Arial" w:hAnsi="Arial" w:cs="Arial"/>
          <w:b/>
          <w:bCs/>
        </w:rPr>
        <w:t xml:space="preserve">within the </w:t>
      </w:r>
      <w:r w:rsidR="00AB04A4">
        <w:rPr>
          <w:rFonts w:ascii="Arial" w:hAnsi="Arial" w:cs="Arial"/>
          <w:b/>
          <w:bCs/>
        </w:rPr>
        <w:t>F</w:t>
      </w:r>
      <w:r>
        <w:rPr>
          <w:rFonts w:ascii="Arial" w:hAnsi="Arial" w:cs="Arial"/>
          <w:b/>
          <w:bCs/>
        </w:rPr>
        <w:t xml:space="preserve">air </w:t>
      </w:r>
      <w:r w:rsidR="00AB04A4">
        <w:rPr>
          <w:rFonts w:ascii="Arial" w:hAnsi="Arial" w:cs="Arial"/>
          <w:b/>
          <w:bCs/>
        </w:rPr>
        <w:t>F</w:t>
      </w:r>
      <w:r>
        <w:rPr>
          <w:rFonts w:ascii="Arial" w:hAnsi="Arial" w:cs="Arial"/>
          <w:b/>
          <w:bCs/>
        </w:rPr>
        <w:t xml:space="preserve">unding </w:t>
      </w:r>
      <w:r w:rsidR="00AB04A4">
        <w:rPr>
          <w:rFonts w:ascii="Arial" w:hAnsi="Arial" w:cs="Arial"/>
          <w:b/>
          <w:bCs/>
        </w:rPr>
        <w:t>R</w:t>
      </w:r>
      <w:r>
        <w:rPr>
          <w:rFonts w:ascii="Arial" w:hAnsi="Arial" w:cs="Arial"/>
          <w:b/>
          <w:bCs/>
        </w:rPr>
        <w:t>eview</w:t>
      </w:r>
    </w:p>
    <w:p w14:paraId="782C8A9A" w14:textId="66D26E4F" w:rsidR="009137DB" w:rsidRPr="009137DB" w:rsidRDefault="009137DB" w:rsidP="00A471E7">
      <w:pPr>
        <w:pStyle w:val="ListParagraph"/>
        <w:numPr>
          <w:ilvl w:val="0"/>
          <w:numId w:val="30"/>
        </w:numPr>
        <w:spacing w:after="160" w:line="259" w:lineRule="auto"/>
        <w:rPr>
          <w:rFonts w:ascii="Arial" w:hAnsi="Arial" w:cs="Arial"/>
          <w:bCs/>
        </w:rPr>
      </w:pPr>
      <w:r w:rsidRPr="009137DB">
        <w:rPr>
          <w:rFonts w:ascii="Arial" w:hAnsi="Arial" w:cs="Arial"/>
          <w:bCs/>
        </w:rPr>
        <w:t xml:space="preserve">This note provides more information on the preferences expressed by members of the Task and Finish Group in their July and September meetings regarding the calculation of council tax adjustments within the </w:t>
      </w:r>
      <w:r w:rsidR="00124F20" w:rsidRPr="00F209FD">
        <w:rPr>
          <w:rFonts w:ascii="Arial" w:hAnsi="Arial" w:cs="Arial"/>
          <w:bCs/>
        </w:rPr>
        <w:t>F</w:t>
      </w:r>
      <w:r w:rsidRPr="00F209FD">
        <w:rPr>
          <w:rFonts w:ascii="Arial" w:hAnsi="Arial" w:cs="Arial"/>
          <w:bCs/>
        </w:rPr>
        <w:t xml:space="preserve">air </w:t>
      </w:r>
      <w:r w:rsidR="00124F20" w:rsidRPr="00F209FD">
        <w:rPr>
          <w:rFonts w:ascii="Arial" w:hAnsi="Arial" w:cs="Arial"/>
          <w:bCs/>
        </w:rPr>
        <w:t>F</w:t>
      </w:r>
      <w:r w:rsidRPr="00F209FD">
        <w:rPr>
          <w:rFonts w:ascii="Arial" w:hAnsi="Arial" w:cs="Arial"/>
          <w:bCs/>
        </w:rPr>
        <w:t xml:space="preserve">unding </w:t>
      </w:r>
      <w:r w:rsidR="00124F20" w:rsidRPr="00F209FD">
        <w:rPr>
          <w:rFonts w:ascii="Arial" w:hAnsi="Arial" w:cs="Arial"/>
          <w:bCs/>
        </w:rPr>
        <w:t>R</w:t>
      </w:r>
      <w:r w:rsidRPr="00F209FD">
        <w:rPr>
          <w:rFonts w:ascii="Arial" w:hAnsi="Arial" w:cs="Arial"/>
          <w:bCs/>
        </w:rPr>
        <w:t>eview</w:t>
      </w:r>
      <w:r w:rsidRPr="009137DB">
        <w:rPr>
          <w:rFonts w:ascii="Arial" w:hAnsi="Arial" w:cs="Arial"/>
          <w:bCs/>
        </w:rPr>
        <w:t>, and the treatment of sales, fees and charges.</w:t>
      </w:r>
    </w:p>
    <w:p w14:paraId="6BE7F93F" w14:textId="127462EA" w:rsidR="009137DB" w:rsidRPr="009137DB" w:rsidRDefault="009137DB" w:rsidP="00A471E7">
      <w:pPr>
        <w:pStyle w:val="ListParagraph"/>
        <w:numPr>
          <w:ilvl w:val="0"/>
          <w:numId w:val="30"/>
        </w:numPr>
        <w:spacing w:after="160" w:line="259" w:lineRule="auto"/>
        <w:rPr>
          <w:rFonts w:ascii="Arial" w:hAnsi="Arial" w:cs="Arial"/>
          <w:bCs/>
        </w:rPr>
      </w:pPr>
      <w:r w:rsidRPr="009137DB">
        <w:rPr>
          <w:rFonts w:ascii="Arial" w:hAnsi="Arial" w:cs="Arial"/>
          <w:bCs/>
        </w:rPr>
        <w:t xml:space="preserve">These preferences are summarised in table 1 above. </w:t>
      </w:r>
      <w:r w:rsidR="00D33809">
        <w:rPr>
          <w:rFonts w:ascii="Arial" w:hAnsi="Arial" w:cs="Arial"/>
        </w:rPr>
        <w:t>LGA Executive</w:t>
      </w:r>
      <w:r w:rsidR="00124F20">
        <w:rPr>
          <w:rFonts w:ascii="Arial" w:hAnsi="Arial" w:cs="Arial"/>
        </w:rPr>
        <w:t xml:space="preserve"> are invited to consider the policy positions developed by the Business Rates Retention and Fair Funding Review Task and Finish Group which could form part of the LGA’s response to the forthcoming consultation on the Fair Funding Review.</w:t>
      </w:r>
    </w:p>
    <w:p w14:paraId="35279B01" w14:textId="33961C8B" w:rsidR="004819CE" w:rsidRDefault="004819CE">
      <w:pPr>
        <w:spacing w:after="160" w:line="259" w:lineRule="auto"/>
        <w:rPr>
          <w:rFonts w:ascii="Arial" w:hAnsi="Arial" w:cs="Arial"/>
          <w:bCs/>
          <w:u w:val="single"/>
        </w:rPr>
      </w:pPr>
      <w:r w:rsidRPr="004819CE">
        <w:rPr>
          <w:rFonts w:ascii="Arial" w:hAnsi="Arial" w:cs="Arial"/>
          <w:bCs/>
          <w:u w:val="single"/>
        </w:rPr>
        <w:t xml:space="preserve">Adjustment </w:t>
      </w:r>
      <w:r w:rsidR="009137DB">
        <w:rPr>
          <w:rFonts w:ascii="Arial" w:hAnsi="Arial" w:cs="Arial"/>
          <w:bCs/>
          <w:u w:val="single"/>
        </w:rPr>
        <w:t>for</w:t>
      </w:r>
      <w:r w:rsidRPr="004819CE">
        <w:rPr>
          <w:rFonts w:ascii="Arial" w:hAnsi="Arial" w:cs="Arial"/>
          <w:bCs/>
          <w:u w:val="single"/>
        </w:rPr>
        <w:t xml:space="preserve"> discounts</w:t>
      </w:r>
    </w:p>
    <w:p w14:paraId="539EDB5E" w14:textId="3F97F5B1" w:rsidR="004819CE" w:rsidRDefault="004819CE" w:rsidP="00A471E7">
      <w:pPr>
        <w:pStyle w:val="ListParagraph"/>
        <w:numPr>
          <w:ilvl w:val="0"/>
          <w:numId w:val="30"/>
        </w:numPr>
        <w:spacing w:after="160" w:line="259" w:lineRule="auto"/>
        <w:rPr>
          <w:rFonts w:ascii="Arial" w:hAnsi="Arial" w:cs="Arial"/>
          <w:bCs/>
        </w:rPr>
      </w:pPr>
      <w:r>
        <w:rPr>
          <w:rFonts w:ascii="Arial" w:hAnsi="Arial" w:cs="Arial"/>
          <w:bCs/>
        </w:rPr>
        <w:t xml:space="preserve">The vast majority of council tax discounts and exemptions (such as single persons’ discount or the student exemption) administered by councils </w:t>
      </w:r>
      <w:r w:rsidR="007849D5">
        <w:rPr>
          <w:rFonts w:ascii="Arial" w:hAnsi="Arial" w:cs="Arial"/>
          <w:bCs/>
        </w:rPr>
        <w:t>are</w:t>
      </w:r>
      <w:r>
        <w:rPr>
          <w:rFonts w:ascii="Arial" w:hAnsi="Arial" w:cs="Arial"/>
          <w:bCs/>
        </w:rPr>
        <w:t xml:space="preserve"> mandated by primary legislation. Local council tax support is a notable exception and is described below.</w:t>
      </w:r>
    </w:p>
    <w:p w14:paraId="07F95587" w14:textId="10338448" w:rsidR="004819CE" w:rsidRDefault="004819CE" w:rsidP="00A471E7">
      <w:pPr>
        <w:pStyle w:val="ListParagraph"/>
        <w:numPr>
          <w:ilvl w:val="0"/>
          <w:numId w:val="30"/>
        </w:numPr>
        <w:spacing w:after="160" w:line="259" w:lineRule="auto"/>
        <w:rPr>
          <w:rFonts w:ascii="Arial" w:hAnsi="Arial" w:cs="Arial"/>
          <w:bCs/>
        </w:rPr>
      </w:pPr>
      <w:r>
        <w:rPr>
          <w:rFonts w:ascii="Arial" w:hAnsi="Arial" w:cs="Arial"/>
          <w:bCs/>
        </w:rPr>
        <w:t xml:space="preserve">Members of the Task and Finish Group felt that local authorities should not be penalised for the impact of nationally mandated schemes. As a result, members have expressed support for the council </w:t>
      </w:r>
      <w:proofErr w:type="spellStart"/>
      <w:r>
        <w:rPr>
          <w:rFonts w:ascii="Arial" w:hAnsi="Arial" w:cs="Arial"/>
          <w:bCs/>
        </w:rPr>
        <w:t>taxbase</w:t>
      </w:r>
      <w:proofErr w:type="spellEnd"/>
      <w:r>
        <w:rPr>
          <w:rFonts w:ascii="Arial" w:hAnsi="Arial" w:cs="Arial"/>
          <w:bCs/>
        </w:rPr>
        <w:t xml:space="preserve"> used in the calculations to be expressed ‘net’ of such discounts and exemptions. It is a long-standing principle employed by Government in previous formula grant systems</w:t>
      </w:r>
      <w:r w:rsidRPr="00F209FD">
        <w:rPr>
          <w:rFonts w:ascii="Arial" w:hAnsi="Arial" w:cs="Arial"/>
          <w:bCs/>
        </w:rPr>
        <w:t>.</w:t>
      </w:r>
    </w:p>
    <w:p w14:paraId="5BC12F77" w14:textId="2BB264FD" w:rsidR="00EF46DE" w:rsidRDefault="004819CE" w:rsidP="00A471E7">
      <w:pPr>
        <w:pStyle w:val="ListParagraph"/>
        <w:numPr>
          <w:ilvl w:val="0"/>
          <w:numId w:val="30"/>
        </w:numPr>
        <w:spacing w:after="160" w:line="259" w:lineRule="auto"/>
        <w:rPr>
          <w:rFonts w:ascii="Arial" w:hAnsi="Arial" w:cs="Arial"/>
          <w:bCs/>
        </w:rPr>
      </w:pPr>
      <w:r>
        <w:rPr>
          <w:rFonts w:ascii="Arial" w:hAnsi="Arial" w:cs="Arial"/>
          <w:bCs/>
        </w:rPr>
        <w:t>Local council tax support schemes are a specific matter as they have both mandatory (older claimants) and discretionary (working-age claimants) elements</w:t>
      </w:r>
      <w:r w:rsidR="00EF46DE">
        <w:rPr>
          <w:rFonts w:ascii="Arial" w:hAnsi="Arial" w:cs="Arial"/>
          <w:bCs/>
        </w:rPr>
        <w:t>.</w:t>
      </w:r>
    </w:p>
    <w:p w14:paraId="3F125EED" w14:textId="77777777" w:rsidR="00EF46DE" w:rsidRPr="00EF46DE" w:rsidRDefault="00EF46DE" w:rsidP="00A471E7">
      <w:pPr>
        <w:pStyle w:val="ListParagraph"/>
        <w:numPr>
          <w:ilvl w:val="0"/>
          <w:numId w:val="30"/>
        </w:numPr>
        <w:spacing w:after="160" w:line="259" w:lineRule="auto"/>
        <w:rPr>
          <w:rFonts w:ascii="Arial" w:hAnsi="Arial" w:cs="Arial"/>
          <w:b/>
          <w:bCs/>
          <w:u w:val="single"/>
        </w:rPr>
      </w:pPr>
      <w:r w:rsidRPr="00EF46DE">
        <w:rPr>
          <w:rFonts w:ascii="Arial" w:hAnsi="Arial" w:cs="Arial"/>
          <w:bCs/>
        </w:rPr>
        <w:t xml:space="preserve">Members of the Task and Finish Group felt that, due to its compulsory nature, the impact of the older people element of the schemes should be reflected in the </w:t>
      </w:r>
      <w:proofErr w:type="spellStart"/>
      <w:r w:rsidRPr="00EF46DE">
        <w:rPr>
          <w:rFonts w:ascii="Arial" w:hAnsi="Arial" w:cs="Arial"/>
          <w:bCs/>
        </w:rPr>
        <w:t>taxbase</w:t>
      </w:r>
      <w:proofErr w:type="spellEnd"/>
      <w:r w:rsidRPr="00EF46DE">
        <w:rPr>
          <w:rFonts w:ascii="Arial" w:hAnsi="Arial" w:cs="Arial"/>
          <w:bCs/>
        </w:rPr>
        <w:t xml:space="preserve"> figures used – this is in line with the principle above.</w:t>
      </w:r>
    </w:p>
    <w:p w14:paraId="0E6AF620" w14:textId="68021E03" w:rsidR="00EF46DE" w:rsidRPr="00EF46DE" w:rsidRDefault="00EF46DE" w:rsidP="00A471E7">
      <w:pPr>
        <w:pStyle w:val="ListParagraph"/>
        <w:numPr>
          <w:ilvl w:val="0"/>
          <w:numId w:val="30"/>
        </w:numPr>
        <w:spacing w:after="160" w:line="259" w:lineRule="auto"/>
        <w:rPr>
          <w:rFonts w:ascii="Arial" w:hAnsi="Arial" w:cs="Arial"/>
          <w:b/>
          <w:bCs/>
          <w:u w:val="single"/>
        </w:rPr>
      </w:pPr>
      <w:r>
        <w:rPr>
          <w:rFonts w:ascii="Arial" w:hAnsi="Arial" w:cs="Arial"/>
          <w:bCs/>
        </w:rPr>
        <w:t>Members also recognised that while the working-age element is more discretionary and there is a wide variety of schemes, it would be preferable to look at a formula which might predict the likely demand for such schemes. This way, the demand pressure could be recognised, but councils would not be rewarded or penalised for discretionary choices around local entitlements.</w:t>
      </w:r>
    </w:p>
    <w:p w14:paraId="64DAE4F5" w14:textId="4D110D83" w:rsidR="00EF46DE" w:rsidRPr="00EF46DE" w:rsidRDefault="00EF46DE" w:rsidP="00EF46DE">
      <w:pPr>
        <w:spacing w:after="160" w:line="259" w:lineRule="auto"/>
        <w:rPr>
          <w:rFonts w:ascii="Arial" w:hAnsi="Arial" w:cs="Arial"/>
          <w:bCs/>
          <w:u w:val="single"/>
        </w:rPr>
      </w:pPr>
      <w:r w:rsidRPr="00EF46DE">
        <w:rPr>
          <w:rFonts w:ascii="Arial" w:hAnsi="Arial" w:cs="Arial"/>
          <w:bCs/>
          <w:u w:val="single"/>
        </w:rPr>
        <w:t>Notional or actual council tax levels</w:t>
      </w:r>
    </w:p>
    <w:p w14:paraId="444CB037" w14:textId="6A5C421C" w:rsidR="00EF46DE" w:rsidRDefault="00EF46DE" w:rsidP="00A471E7">
      <w:pPr>
        <w:pStyle w:val="ListParagraph"/>
        <w:numPr>
          <w:ilvl w:val="0"/>
          <w:numId w:val="30"/>
        </w:numPr>
        <w:spacing w:after="160" w:line="259" w:lineRule="auto"/>
        <w:rPr>
          <w:rFonts w:ascii="Arial" w:hAnsi="Arial" w:cs="Arial"/>
          <w:bCs/>
        </w:rPr>
      </w:pPr>
      <w:r w:rsidRPr="00EF46DE">
        <w:rPr>
          <w:rFonts w:ascii="Arial" w:hAnsi="Arial" w:cs="Arial"/>
          <w:bCs/>
        </w:rPr>
        <w:t>T</w:t>
      </w:r>
      <w:r>
        <w:rPr>
          <w:rFonts w:ascii="Arial" w:hAnsi="Arial" w:cs="Arial"/>
          <w:bCs/>
        </w:rPr>
        <w:t xml:space="preserve">he choice of council tax level used in the calculation of the council tax adjustment is just as important as the choices around the calculation of the relevant </w:t>
      </w:r>
      <w:proofErr w:type="spellStart"/>
      <w:r>
        <w:rPr>
          <w:rFonts w:ascii="Arial" w:hAnsi="Arial" w:cs="Arial"/>
          <w:bCs/>
        </w:rPr>
        <w:t>taxbase</w:t>
      </w:r>
      <w:proofErr w:type="spellEnd"/>
      <w:r>
        <w:rPr>
          <w:rFonts w:ascii="Arial" w:hAnsi="Arial" w:cs="Arial"/>
          <w:bCs/>
        </w:rPr>
        <w:t xml:space="preserve">. </w:t>
      </w:r>
    </w:p>
    <w:p w14:paraId="178F2A73" w14:textId="6CF857CC" w:rsidR="00EF46DE" w:rsidRDefault="00EF46DE" w:rsidP="00F209FD">
      <w:pPr>
        <w:pStyle w:val="ListParagraph"/>
        <w:numPr>
          <w:ilvl w:val="1"/>
          <w:numId w:val="30"/>
        </w:numPr>
        <w:spacing w:after="160" w:line="259" w:lineRule="auto"/>
        <w:rPr>
          <w:rFonts w:ascii="Arial" w:hAnsi="Arial" w:cs="Arial"/>
          <w:bCs/>
        </w:rPr>
      </w:pPr>
      <w:r>
        <w:rPr>
          <w:rFonts w:ascii="Arial" w:hAnsi="Arial" w:cs="Arial"/>
          <w:bCs/>
        </w:rPr>
        <w:t>Using actual council tax levels would tend to reward councils with low Band D council tax levels and penalise councils with high Band D council tax levels, regardless of the reason for the difference.</w:t>
      </w:r>
    </w:p>
    <w:p w14:paraId="5FA2751A" w14:textId="77777777" w:rsidR="00EF46DE" w:rsidRDefault="00EF46DE" w:rsidP="00F209FD">
      <w:pPr>
        <w:pStyle w:val="ListParagraph"/>
        <w:numPr>
          <w:ilvl w:val="1"/>
          <w:numId w:val="30"/>
        </w:numPr>
        <w:spacing w:after="160" w:line="259" w:lineRule="auto"/>
        <w:rPr>
          <w:rFonts w:ascii="Arial" w:hAnsi="Arial" w:cs="Arial"/>
          <w:bCs/>
        </w:rPr>
      </w:pPr>
      <w:r>
        <w:rPr>
          <w:rFonts w:ascii="Arial" w:hAnsi="Arial" w:cs="Arial"/>
          <w:bCs/>
        </w:rPr>
        <w:t xml:space="preserve">Using a notional council tax level would ignore local council tax decisions and make the </w:t>
      </w:r>
      <w:proofErr w:type="spellStart"/>
      <w:r>
        <w:rPr>
          <w:rFonts w:ascii="Arial" w:hAnsi="Arial" w:cs="Arial"/>
          <w:bCs/>
        </w:rPr>
        <w:t>taxbase</w:t>
      </w:r>
      <w:proofErr w:type="spellEnd"/>
      <w:r>
        <w:rPr>
          <w:rFonts w:ascii="Arial" w:hAnsi="Arial" w:cs="Arial"/>
          <w:bCs/>
        </w:rPr>
        <w:t xml:space="preserve"> differences the deciding factor of distribution between councils. However, the </w:t>
      </w:r>
      <w:r w:rsidR="00495F1D">
        <w:rPr>
          <w:rFonts w:ascii="Arial" w:hAnsi="Arial" w:cs="Arial"/>
          <w:bCs/>
        </w:rPr>
        <w:t xml:space="preserve">‘tier split’ </w:t>
      </w:r>
      <w:r>
        <w:rPr>
          <w:rFonts w:ascii="Arial" w:hAnsi="Arial" w:cs="Arial"/>
          <w:bCs/>
        </w:rPr>
        <w:t xml:space="preserve">of </w:t>
      </w:r>
      <w:r w:rsidR="00495F1D">
        <w:rPr>
          <w:rFonts w:ascii="Arial" w:hAnsi="Arial" w:cs="Arial"/>
          <w:bCs/>
        </w:rPr>
        <w:t xml:space="preserve">the </w:t>
      </w:r>
      <w:r>
        <w:rPr>
          <w:rFonts w:ascii="Arial" w:hAnsi="Arial" w:cs="Arial"/>
          <w:bCs/>
        </w:rPr>
        <w:t xml:space="preserve">notional council tax level – which would have a high </w:t>
      </w:r>
      <w:r>
        <w:rPr>
          <w:rFonts w:ascii="Arial" w:hAnsi="Arial" w:cs="Arial"/>
          <w:bCs/>
        </w:rPr>
        <w:lastRenderedPageBreak/>
        <w:t xml:space="preserve">degree of Ministerial judgement – would have a significant impact on how the council tax deduction is split between different authority types as a whole. </w:t>
      </w:r>
    </w:p>
    <w:p w14:paraId="1B38CC0A" w14:textId="51F2D0C3" w:rsidR="00EF46DE" w:rsidRDefault="00EF46DE" w:rsidP="00F209FD">
      <w:pPr>
        <w:pStyle w:val="ListParagraph"/>
        <w:numPr>
          <w:ilvl w:val="1"/>
          <w:numId w:val="30"/>
        </w:numPr>
        <w:spacing w:after="160" w:line="259" w:lineRule="auto"/>
        <w:rPr>
          <w:rFonts w:ascii="Arial" w:hAnsi="Arial" w:cs="Arial"/>
          <w:bCs/>
        </w:rPr>
      </w:pPr>
      <w:r>
        <w:rPr>
          <w:rFonts w:ascii="Arial" w:hAnsi="Arial" w:cs="Arial"/>
          <w:bCs/>
        </w:rPr>
        <w:t>For example,</w:t>
      </w:r>
      <w:r w:rsidR="00495F1D">
        <w:rPr>
          <w:rFonts w:ascii="Arial" w:hAnsi="Arial" w:cs="Arial"/>
          <w:bCs/>
        </w:rPr>
        <w:t xml:space="preserve"> if a notional council tax of £1,000 is split with 10%</w:t>
      </w:r>
      <w:r>
        <w:rPr>
          <w:rFonts w:ascii="Arial" w:hAnsi="Arial" w:cs="Arial"/>
          <w:bCs/>
        </w:rPr>
        <w:t xml:space="preserve"> </w:t>
      </w:r>
      <w:r w:rsidR="00495F1D">
        <w:rPr>
          <w:rFonts w:ascii="Arial" w:hAnsi="Arial" w:cs="Arial"/>
          <w:bCs/>
        </w:rPr>
        <w:t>applied to lower-tier services and 90% applied to upper tier services, district councils as a whole would be better off in comparison to a 20%/80% split.</w:t>
      </w:r>
      <w:r>
        <w:rPr>
          <w:rFonts w:ascii="Arial" w:hAnsi="Arial" w:cs="Arial"/>
          <w:bCs/>
        </w:rPr>
        <w:t xml:space="preserve"> </w:t>
      </w:r>
      <w:r w:rsidR="00495F1D">
        <w:rPr>
          <w:rFonts w:ascii="Arial" w:hAnsi="Arial" w:cs="Arial"/>
          <w:bCs/>
        </w:rPr>
        <w:t>B</w:t>
      </w:r>
      <w:r>
        <w:rPr>
          <w:rFonts w:ascii="Arial" w:hAnsi="Arial" w:cs="Arial"/>
          <w:bCs/>
        </w:rPr>
        <w:t>ut how that burden is then shared out within those tiers would be the same in both scenarios.</w:t>
      </w:r>
    </w:p>
    <w:p w14:paraId="6C494541" w14:textId="40ECBA07" w:rsidR="00495F1D" w:rsidRDefault="00495F1D" w:rsidP="00F209FD">
      <w:pPr>
        <w:pStyle w:val="ListParagraph"/>
        <w:numPr>
          <w:ilvl w:val="1"/>
          <w:numId w:val="30"/>
        </w:numPr>
        <w:spacing w:after="160" w:line="259" w:lineRule="auto"/>
        <w:rPr>
          <w:rFonts w:ascii="Arial" w:hAnsi="Arial" w:cs="Arial"/>
          <w:bCs/>
        </w:rPr>
      </w:pPr>
      <w:r>
        <w:rPr>
          <w:rFonts w:ascii="Arial" w:hAnsi="Arial" w:cs="Arial"/>
          <w:bCs/>
        </w:rPr>
        <w:t>One way of working out a ‘tier split’ could be to look at the actual split of council tax income at a national level.</w:t>
      </w:r>
    </w:p>
    <w:p w14:paraId="2E2633DE" w14:textId="75B21BCE" w:rsidR="00EF46DE" w:rsidRDefault="00EF46DE" w:rsidP="00A471E7">
      <w:pPr>
        <w:pStyle w:val="ListParagraph"/>
        <w:numPr>
          <w:ilvl w:val="0"/>
          <w:numId w:val="30"/>
        </w:numPr>
        <w:spacing w:after="160" w:line="259" w:lineRule="auto"/>
        <w:rPr>
          <w:rFonts w:ascii="Arial" w:hAnsi="Arial" w:cs="Arial"/>
          <w:bCs/>
        </w:rPr>
      </w:pPr>
      <w:r>
        <w:rPr>
          <w:rFonts w:ascii="Arial" w:hAnsi="Arial" w:cs="Arial"/>
          <w:bCs/>
        </w:rPr>
        <w:t xml:space="preserve">While Members of the Task and Finish Group were </w:t>
      </w:r>
      <w:r w:rsidR="003A1172">
        <w:rPr>
          <w:rFonts w:ascii="Arial" w:hAnsi="Arial" w:cs="Arial"/>
          <w:bCs/>
        </w:rPr>
        <w:t xml:space="preserve">mindful </w:t>
      </w:r>
      <w:r>
        <w:rPr>
          <w:rFonts w:ascii="Arial" w:hAnsi="Arial" w:cs="Arial"/>
          <w:bCs/>
        </w:rPr>
        <w:t>of how the use of notional council tax increase</w:t>
      </w:r>
      <w:r w:rsidR="003A1172">
        <w:rPr>
          <w:rFonts w:ascii="Arial" w:hAnsi="Arial" w:cs="Arial"/>
          <w:bCs/>
        </w:rPr>
        <w:t>s</w:t>
      </w:r>
      <w:r>
        <w:rPr>
          <w:rFonts w:ascii="Arial" w:hAnsi="Arial" w:cs="Arial"/>
          <w:bCs/>
        </w:rPr>
        <w:t xml:space="preserve"> the impact of Ministerial judgement on the system, it was felt that it was still a better way forward than distributing funding on the basis of local policy choices reflected in actual council tax levels.</w:t>
      </w:r>
    </w:p>
    <w:p w14:paraId="0F95FCC4" w14:textId="16A55779" w:rsidR="00EF46DE" w:rsidRPr="00EF46DE" w:rsidRDefault="00EF46DE" w:rsidP="00A471E7">
      <w:pPr>
        <w:pStyle w:val="ListParagraph"/>
        <w:numPr>
          <w:ilvl w:val="0"/>
          <w:numId w:val="30"/>
        </w:numPr>
        <w:spacing w:after="160" w:line="259" w:lineRule="auto"/>
        <w:rPr>
          <w:rFonts w:ascii="Arial" w:hAnsi="Arial" w:cs="Arial"/>
          <w:bCs/>
        </w:rPr>
      </w:pPr>
      <w:r>
        <w:rPr>
          <w:rFonts w:ascii="Arial" w:hAnsi="Arial" w:cs="Arial"/>
          <w:bCs/>
        </w:rPr>
        <w:t xml:space="preserve">As a result Members expressed preference for the use of notional council tax levels, but without prescription of </w:t>
      </w:r>
      <w:r w:rsidR="00495F1D">
        <w:rPr>
          <w:rFonts w:ascii="Arial" w:hAnsi="Arial" w:cs="Arial"/>
          <w:bCs/>
        </w:rPr>
        <w:t>how this should be split between tiers</w:t>
      </w:r>
      <w:r>
        <w:rPr>
          <w:rFonts w:ascii="Arial" w:hAnsi="Arial" w:cs="Arial"/>
          <w:bCs/>
        </w:rPr>
        <w:t xml:space="preserve"> due to the significant distributional impact. The LGA would seek the Government to be transparent on the reasons for choosing </w:t>
      </w:r>
      <w:r w:rsidR="003A1172">
        <w:rPr>
          <w:rFonts w:ascii="Arial" w:hAnsi="Arial" w:cs="Arial"/>
          <w:bCs/>
        </w:rPr>
        <w:t>the</w:t>
      </w:r>
      <w:r>
        <w:rPr>
          <w:rFonts w:ascii="Arial" w:hAnsi="Arial" w:cs="Arial"/>
          <w:bCs/>
        </w:rPr>
        <w:t xml:space="preserve"> notional council tax level</w:t>
      </w:r>
      <w:r w:rsidR="003A1172">
        <w:rPr>
          <w:rFonts w:ascii="Arial" w:hAnsi="Arial" w:cs="Arial"/>
          <w:bCs/>
        </w:rPr>
        <w:t xml:space="preserve"> and ‘tier split’</w:t>
      </w:r>
      <w:r>
        <w:rPr>
          <w:rFonts w:ascii="Arial" w:hAnsi="Arial" w:cs="Arial"/>
          <w:bCs/>
        </w:rPr>
        <w:t xml:space="preserve"> and </w:t>
      </w:r>
      <w:r w:rsidR="003A1172">
        <w:rPr>
          <w:rFonts w:ascii="Arial" w:hAnsi="Arial" w:cs="Arial"/>
          <w:bCs/>
        </w:rPr>
        <w:t xml:space="preserve">the </w:t>
      </w:r>
      <w:r>
        <w:rPr>
          <w:rFonts w:ascii="Arial" w:hAnsi="Arial" w:cs="Arial"/>
          <w:bCs/>
        </w:rPr>
        <w:t>evidence used in</w:t>
      </w:r>
      <w:r w:rsidR="003A1172">
        <w:rPr>
          <w:rFonts w:ascii="Arial" w:hAnsi="Arial" w:cs="Arial"/>
          <w:bCs/>
        </w:rPr>
        <w:t xml:space="preserve"> making</w:t>
      </w:r>
      <w:r>
        <w:rPr>
          <w:rFonts w:ascii="Arial" w:hAnsi="Arial" w:cs="Arial"/>
          <w:bCs/>
        </w:rPr>
        <w:t xml:space="preserve"> its decision.</w:t>
      </w:r>
    </w:p>
    <w:p w14:paraId="344639AC" w14:textId="434AD15E" w:rsidR="00EF46DE" w:rsidRDefault="009137DB" w:rsidP="00EF46DE">
      <w:pPr>
        <w:spacing w:after="160" w:line="259" w:lineRule="auto"/>
        <w:rPr>
          <w:rFonts w:ascii="Arial" w:hAnsi="Arial" w:cs="Arial"/>
          <w:bCs/>
          <w:u w:val="single"/>
        </w:rPr>
      </w:pPr>
      <w:r w:rsidRPr="009137DB">
        <w:rPr>
          <w:rFonts w:ascii="Arial" w:hAnsi="Arial" w:cs="Arial"/>
          <w:bCs/>
          <w:u w:val="single"/>
        </w:rPr>
        <w:t>Factors affecting council tax</w:t>
      </w:r>
      <w:r>
        <w:rPr>
          <w:rFonts w:ascii="Arial" w:hAnsi="Arial" w:cs="Arial"/>
          <w:bCs/>
          <w:u w:val="single"/>
        </w:rPr>
        <w:t xml:space="preserve"> levels</w:t>
      </w:r>
    </w:p>
    <w:p w14:paraId="21391EA9" w14:textId="2752AF75" w:rsidR="009137DB" w:rsidRDefault="009137DB" w:rsidP="00A471E7">
      <w:pPr>
        <w:pStyle w:val="ListParagraph"/>
        <w:numPr>
          <w:ilvl w:val="0"/>
          <w:numId w:val="30"/>
        </w:numPr>
        <w:spacing w:after="160" w:line="259" w:lineRule="auto"/>
        <w:rPr>
          <w:rFonts w:ascii="Arial" w:hAnsi="Arial" w:cs="Arial"/>
          <w:bCs/>
        </w:rPr>
      </w:pPr>
      <w:r>
        <w:rPr>
          <w:rFonts w:ascii="Arial" w:hAnsi="Arial" w:cs="Arial"/>
          <w:bCs/>
        </w:rPr>
        <w:t>The use of notional council tax levels would mean that all of the factors below have no impact on the distribution of funding between local authorities, as notional council tax isolates the impact of actual council tax levels from the analysis.</w:t>
      </w:r>
    </w:p>
    <w:p w14:paraId="2A21EC34" w14:textId="2CBC268E" w:rsidR="009137DB" w:rsidRDefault="009137DB" w:rsidP="00A471E7">
      <w:pPr>
        <w:pStyle w:val="ListParagraph"/>
        <w:numPr>
          <w:ilvl w:val="0"/>
          <w:numId w:val="30"/>
        </w:numPr>
        <w:spacing w:after="160" w:line="259" w:lineRule="auto"/>
        <w:rPr>
          <w:rFonts w:ascii="Arial" w:hAnsi="Arial" w:cs="Arial"/>
          <w:bCs/>
        </w:rPr>
      </w:pPr>
      <w:r>
        <w:rPr>
          <w:rFonts w:ascii="Arial" w:hAnsi="Arial" w:cs="Arial"/>
          <w:bCs/>
        </w:rPr>
        <w:t>However, should actual council tax be used in any form of the analysis,</w:t>
      </w:r>
      <w:r w:rsidR="003A1172">
        <w:rPr>
          <w:rFonts w:ascii="Arial" w:hAnsi="Arial" w:cs="Arial"/>
          <w:bCs/>
        </w:rPr>
        <w:t xml:space="preserve"> or to work out the ‘tier split’ mentioned above,</w:t>
      </w:r>
      <w:r>
        <w:rPr>
          <w:rFonts w:ascii="Arial" w:hAnsi="Arial" w:cs="Arial"/>
          <w:bCs/>
        </w:rPr>
        <w:t xml:space="preserve"> the Members of the Task and Finish Group expressed a preference to:</w:t>
      </w:r>
    </w:p>
    <w:p w14:paraId="70627678" w14:textId="233F2073" w:rsidR="009137DB" w:rsidRDefault="009137DB" w:rsidP="00D33809">
      <w:pPr>
        <w:pStyle w:val="ListParagraph"/>
        <w:numPr>
          <w:ilvl w:val="1"/>
          <w:numId w:val="30"/>
        </w:numPr>
        <w:spacing w:after="160" w:line="259" w:lineRule="auto"/>
        <w:ind w:left="924" w:hanging="567"/>
        <w:rPr>
          <w:rFonts w:ascii="Arial" w:hAnsi="Arial" w:cs="Arial"/>
          <w:bCs/>
        </w:rPr>
      </w:pPr>
      <w:r>
        <w:rPr>
          <w:rFonts w:ascii="Arial" w:hAnsi="Arial" w:cs="Arial"/>
          <w:bCs/>
        </w:rPr>
        <w:t>Ignore parish council precepts, meaning councils with higher parish precepts would not be penalised</w:t>
      </w:r>
    </w:p>
    <w:p w14:paraId="44B23926" w14:textId="5273D2A4" w:rsidR="009137DB" w:rsidRDefault="009137DB" w:rsidP="00D33809">
      <w:pPr>
        <w:pStyle w:val="ListParagraph"/>
        <w:numPr>
          <w:ilvl w:val="1"/>
          <w:numId w:val="30"/>
        </w:numPr>
        <w:spacing w:after="160" w:line="259" w:lineRule="auto"/>
        <w:ind w:left="924" w:hanging="567"/>
        <w:rPr>
          <w:rFonts w:ascii="Arial" w:hAnsi="Arial" w:cs="Arial"/>
          <w:bCs/>
        </w:rPr>
      </w:pPr>
      <w:r>
        <w:rPr>
          <w:rFonts w:ascii="Arial" w:hAnsi="Arial" w:cs="Arial"/>
          <w:bCs/>
        </w:rPr>
        <w:t>Ignore mandatory special levies, meaning councils with higher such levies would not be penalised</w:t>
      </w:r>
    </w:p>
    <w:p w14:paraId="0F2E9D1A" w14:textId="77777777" w:rsidR="009137DB" w:rsidRPr="001171DA" w:rsidRDefault="009137DB" w:rsidP="00D33809">
      <w:pPr>
        <w:pStyle w:val="ListParagraph"/>
        <w:numPr>
          <w:ilvl w:val="1"/>
          <w:numId w:val="30"/>
        </w:numPr>
        <w:spacing w:after="160" w:line="259" w:lineRule="auto"/>
        <w:ind w:left="924" w:hanging="567"/>
        <w:rPr>
          <w:rFonts w:ascii="Arial" w:hAnsi="Arial" w:cs="Arial"/>
          <w:bCs/>
        </w:rPr>
      </w:pPr>
      <w:r w:rsidRPr="001171DA">
        <w:rPr>
          <w:rFonts w:ascii="Arial" w:hAnsi="Arial" w:cs="Arial"/>
          <w:bCs/>
        </w:rPr>
        <w:t>Consider treatment of the adult social care precept once it is clear whether the improved Better Care Fund would be rolled into the business rates retention system due to linkages in how this funding is distributed.</w:t>
      </w:r>
    </w:p>
    <w:p w14:paraId="4064B971" w14:textId="547725DD" w:rsidR="009137DB" w:rsidRDefault="009137DB" w:rsidP="009137DB">
      <w:pPr>
        <w:spacing w:after="160" w:line="259" w:lineRule="auto"/>
        <w:rPr>
          <w:rFonts w:ascii="Arial" w:hAnsi="Arial" w:cs="Arial"/>
          <w:bCs/>
          <w:u w:val="single"/>
        </w:rPr>
      </w:pPr>
      <w:r w:rsidRPr="009137DB">
        <w:rPr>
          <w:rFonts w:ascii="Arial" w:hAnsi="Arial" w:cs="Arial"/>
          <w:bCs/>
          <w:u w:val="single"/>
        </w:rPr>
        <w:t>Sales, fees and charges</w:t>
      </w:r>
    </w:p>
    <w:p w14:paraId="0CFBC006" w14:textId="435730CB" w:rsidR="009137DB" w:rsidRDefault="009137DB" w:rsidP="00A471E7">
      <w:pPr>
        <w:pStyle w:val="ListParagraph"/>
        <w:numPr>
          <w:ilvl w:val="0"/>
          <w:numId w:val="30"/>
        </w:numPr>
        <w:spacing w:after="160" w:line="259" w:lineRule="auto"/>
        <w:rPr>
          <w:rFonts w:ascii="Arial" w:hAnsi="Arial" w:cs="Arial"/>
          <w:bCs/>
        </w:rPr>
      </w:pPr>
      <w:r w:rsidRPr="009137DB">
        <w:rPr>
          <w:rFonts w:ascii="Arial" w:hAnsi="Arial" w:cs="Arial"/>
          <w:bCs/>
        </w:rPr>
        <w:t xml:space="preserve">Members of the Task and Finish Group expressed a preference for income from sales, fees and charges to not be explicitly reflected in the resources adjustment. This is because </w:t>
      </w:r>
    </w:p>
    <w:p w14:paraId="18DB6E0E" w14:textId="02F7A57B" w:rsidR="009137DB" w:rsidRDefault="009137DB" w:rsidP="00D33809">
      <w:pPr>
        <w:pStyle w:val="ListParagraph"/>
        <w:numPr>
          <w:ilvl w:val="1"/>
          <w:numId w:val="30"/>
        </w:numPr>
        <w:spacing w:after="160" w:line="259" w:lineRule="auto"/>
        <w:ind w:left="924" w:hanging="567"/>
        <w:rPr>
          <w:rFonts w:ascii="Arial" w:hAnsi="Arial" w:cs="Arial"/>
          <w:bCs/>
        </w:rPr>
      </w:pPr>
      <w:r>
        <w:rPr>
          <w:rFonts w:ascii="Arial" w:hAnsi="Arial" w:cs="Arial"/>
          <w:bCs/>
        </w:rPr>
        <w:t>T</w:t>
      </w:r>
      <w:r w:rsidRPr="009137DB">
        <w:rPr>
          <w:rFonts w:ascii="Arial" w:hAnsi="Arial" w:cs="Arial"/>
          <w:bCs/>
        </w:rPr>
        <w:t xml:space="preserve">he quality of data available is not </w:t>
      </w:r>
      <w:r w:rsidR="00900E26">
        <w:rPr>
          <w:rFonts w:ascii="Arial" w:hAnsi="Arial" w:cs="Arial"/>
          <w:bCs/>
        </w:rPr>
        <w:t xml:space="preserve">particularly </w:t>
      </w:r>
      <w:r w:rsidRPr="009137DB">
        <w:rPr>
          <w:rFonts w:ascii="Arial" w:hAnsi="Arial" w:cs="Arial"/>
          <w:bCs/>
        </w:rPr>
        <w:t xml:space="preserve">robust; </w:t>
      </w:r>
    </w:p>
    <w:p w14:paraId="0C812F4F" w14:textId="77777777" w:rsidR="009137DB" w:rsidRDefault="009137DB" w:rsidP="00D33809">
      <w:pPr>
        <w:pStyle w:val="ListParagraph"/>
        <w:numPr>
          <w:ilvl w:val="1"/>
          <w:numId w:val="30"/>
        </w:numPr>
        <w:spacing w:after="160" w:line="259" w:lineRule="auto"/>
        <w:ind w:left="924" w:hanging="567"/>
        <w:rPr>
          <w:rFonts w:ascii="Arial" w:hAnsi="Arial" w:cs="Arial"/>
          <w:bCs/>
        </w:rPr>
      </w:pPr>
      <w:r>
        <w:rPr>
          <w:rFonts w:ascii="Arial" w:hAnsi="Arial" w:cs="Arial"/>
          <w:bCs/>
        </w:rPr>
        <w:t>T</w:t>
      </w:r>
      <w:r w:rsidRPr="009137DB">
        <w:rPr>
          <w:rFonts w:ascii="Arial" w:hAnsi="Arial" w:cs="Arial"/>
          <w:bCs/>
        </w:rPr>
        <w:t xml:space="preserve">here are sometimes only nuanced differences between mandatory and discretionary charges; and </w:t>
      </w:r>
    </w:p>
    <w:p w14:paraId="79F47B1B" w14:textId="76FD8D8E" w:rsidR="009137DB" w:rsidRPr="009137DB" w:rsidRDefault="009137DB" w:rsidP="00D33809">
      <w:pPr>
        <w:pStyle w:val="ListParagraph"/>
        <w:numPr>
          <w:ilvl w:val="1"/>
          <w:numId w:val="30"/>
        </w:numPr>
        <w:spacing w:after="160" w:line="259" w:lineRule="auto"/>
        <w:ind w:left="924" w:hanging="567"/>
        <w:rPr>
          <w:rFonts w:ascii="Arial" w:hAnsi="Arial" w:cs="Arial"/>
          <w:bCs/>
        </w:rPr>
      </w:pPr>
      <w:r>
        <w:rPr>
          <w:rFonts w:ascii="Arial" w:hAnsi="Arial" w:cs="Arial"/>
          <w:bCs/>
        </w:rPr>
        <w:lastRenderedPageBreak/>
        <w:t>T</w:t>
      </w:r>
      <w:r w:rsidRPr="009137DB">
        <w:rPr>
          <w:rFonts w:ascii="Arial" w:hAnsi="Arial" w:cs="Arial"/>
          <w:bCs/>
        </w:rPr>
        <w:t>his might have a penalising impact on councils which have adopted a more entrepreneurial approach.</w:t>
      </w:r>
    </w:p>
    <w:p w14:paraId="14FDF3F6" w14:textId="311EFDCF" w:rsidR="009137DB" w:rsidRPr="009137DB" w:rsidRDefault="009137DB" w:rsidP="00A471E7">
      <w:pPr>
        <w:pStyle w:val="ListParagraph"/>
        <w:numPr>
          <w:ilvl w:val="0"/>
          <w:numId w:val="30"/>
        </w:numPr>
        <w:spacing w:after="160" w:line="259" w:lineRule="auto"/>
        <w:rPr>
          <w:rFonts w:ascii="Arial" w:hAnsi="Arial" w:cs="Arial"/>
          <w:bCs/>
        </w:rPr>
      </w:pPr>
      <w:r w:rsidRPr="009137DB">
        <w:rPr>
          <w:rFonts w:ascii="Arial" w:hAnsi="Arial" w:cs="Arial"/>
          <w:bCs/>
        </w:rPr>
        <w:t>However, it is worth noting that, as long as some degree of regression against past net expenditure is used in the analysis of council relative spending needs, the impact of sales, fees and charges is picked up indirectly where such income is linked to cost drivers used in the analysis.</w:t>
      </w:r>
    </w:p>
    <w:p w14:paraId="67C3EAB1" w14:textId="77777777" w:rsidR="003A1172" w:rsidRDefault="003A1172">
      <w:pPr>
        <w:spacing w:after="160" w:line="259" w:lineRule="auto"/>
        <w:rPr>
          <w:rFonts w:ascii="Arial" w:hAnsi="Arial" w:cs="Arial"/>
          <w:b/>
          <w:bCs/>
        </w:rPr>
      </w:pPr>
      <w:r>
        <w:rPr>
          <w:rFonts w:ascii="Arial" w:hAnsi="Arial" w:cs="Arial"/>
          <w:b/>
          <w:bCs/>
        </w:rPr>
        <w:br w:type="page"/>
      </w:r>
    </w:p>
    <w:p w14:paraId="3F0FAFE3" w14:textId="6E32BE0C" w:rsidR="00780054" w:rsidRPr="009137DB" w:rsidRDefault="077B5CBB" w:rsidP="009137DB">
      <w:pPr>
        <w:spacing w:after="160" w:line="259" w:lineRule="auto"/>
        <w:rPr>
          <w:rFonts w:ascii="Arial" w:hAnsi="Arial" w:cs="Arial"/>
          <w:b/>
          <w:bCs/>
        </w:rPr>
      </w:pPr>
      <w:r w:rsidRPr="009137DB">
        <w:rPr>
          <w:rFonts w:ascii="Arial" w:hAnsi="Arial" w:cs="Arial"/>
          <w:b/>
          <w:bCs/>
        </w:rPr>
        <w:lastRenderedPageBreak/>
        <w:t xml:space="preserve">Appendix </w:t>
      </w:r>
      <w:r w:rsidR="00C35DFE">
        <w:rPr>
          <w:rFonts w:ascii="Arial" w:hAnsi="Arial" w:cs="Arial"/>
          <w:b/>
          <w:bCs/>
        </w:rPr>
        <w:t>2</w:t>
      </w:r>
      <w:r w:rsidRPr="009137DB">
        <w:rPr>
          <w:rFonts w:ascii="Arial" w:hAnsi="Arial" w:cs="Arial"/>
          <w:b/>
          <w:bCs/>
        </w:rPr>
        <w:t>. High-level progress update on the LGA Fair Funding Review and Business Rates Retention work programme</w:t>
      </w:r>
    </w:p>
    <w:p w14:paraId="57DB5E46" w14:textId="77777777" w:rsidR="00780054" w:rsidRPr="00780054" w:rsidRDefault="00780054" w:rsidP="00780054">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780054" w:rsidRPr="00780054" w14:paraId="26C0AFFB" w14:textId="77777777" w:rsidTr="077B5CBB">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5BC86DD" w14:textId="77777777" w:rsidR="00780054" w:rsidRPr="00780054" w:rsidRDefault="077B5CBB" w:rsidP="077B5CBB">
            <w:pPr>
              <w:contextualSpacing/>
              <w:jc w:val="both"/>
              <w:rPr>
                <w:rFonts w:ascii="Arial" w:hAnsi="Arial" w:cs="Arial"/>
                <w:b/>
                <w:bCs/>
              </w:rPr>
            </w:pPr>
            <w:r w:rsidRPr="077B5CBB">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C8E812E" w14:textId="77777777" w:rsidR="00780054" w:rsidRPr="00780054" w:rsidRDefault="077B5CBB" w:rsidP="077B5CBB">
            <w:pPr>
              <w:contextualSpacing/>
              <w:jc w:val="both"/>
              <w:rPr>
                <w:rFonts w:ascii="Arial" w:hAnsi="Arial" w:cs="Arial"/>
                <w:b/>
                <w:bCs/>
              </w:rPr>
            </w:pPr>
            <w:r w:rsidRPr="077B5CBB">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1FECB0F" w14:textId="77777777" w:rsidR="00780054" w:rsidRPr="00780054" w:rsidRDefault="077B5CBB" w:rsidP="077B5CBB">
            <w:pPr>
              <w:contextualSpacing/>
              <w:jc w:val="both"/>
              <w:rPr>
                <w:rFonts w:ascii="Arial" w:hAnsi="Arial" w:cs="Arial"/>
                <w:b/>
                <w:bCs/>
              </w:rPr>
            </w:pPr>
            <w:r w:rsidRPr="077B5CBB">
              <w:rPr>
                <w:rFonts w:ascii="Arial" w:hAnsi="Arial" w:cs="Arial"/>
                <w:b/>
                <w:bCs/>
              </w:rPr>
              <w:t>Quick update</w:t>
            </w:r>
          </w:p>
        </w:tc>
      </w:tr>
      <w:tr w:rsidR="00780054" w:rsidRPr="00780054" w14:paraId="49770907" w14:textId="77777777" w:rsidTr="077B5CBB">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BE622" w14:textId="77777777" w:rsidR="00780054" w:rsidRPr="00780054" w:rsidRDefault="077B5CBB" w:rsidP="077B5CBB">
            <w:pPr>
              <w:contextualSpacing/>
              <w:rPr>
                <w:rFonts w:ascii="Arial" w:hAnsi="Arial" w:cs="Arial"/>
                <w:b/>
                <w:bCs/>
              </w:rPr>
            </w:pPr>
            <w:r w:rsidRPr="077B5CBB">
              <w:rPr>
                <w:rFonts w:ascii="Arial" w:hAnsi="Arial" w:cs="Arial"/>
                <w:b/>
                <w:bCs/>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4288ECD" w14:textId="77777777" w:rsidR="00780054" w:rsidRPr="00780054" w:rsidRDefault="077B5CBB" w:rsidP="077B5CBB">
            <w:pPr>
              <w:contextualSpacing/>
              <w:rPr>
                <w:rFonts w:ascii="Arial" w:hAnsi="Arial" w:cs="Arial"/>
              </w:rPr>
            </w:pPr>
            <w:r w:rsidRPr="077B5CBB">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2FB3042" w14:textId="77777777" w:rsidR="00780054" w:rsidRPr="00780054" w:rsidRDefault="001B1497" w:rsidP="00780054">
            <w:pPr>
              <w:contextualSpacing/>
              <w:rPr>
                <w:rFonts w:ascii="Arial" w:hAnsi="Arial" w:cs="Arial"/>
              </w:rPr>
            </w:pPr>
            <w:hyperlink r:id="rId20" w:history="1">
              <w:r w:rsidR="00780054" w:rsidRPr="00780054">
                <w:rPr>
                  <w:rStyle w:val="Hyperlink"/>
                  <w:rFonts w:ascii="Arial" w:hAnsi="Arial" w:cs="Arial"/>
                </w:rPr>
                <w:t>Complete</w:t>
              </w:r>
            </w:hyperlink>
          </w:p>
        </w:tc>
      </w:tr>
      <w:tr w:rsidR="00780054" w:rsidRPr="00780054" w14:paraId="1F8B740C" w14:textId="77777777" w:rsidTr="077B5CBB">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21C18" w14:textId="77777777" w:rsidR="00780054" w:rsidRPr="00780054" w:rsidRDefault="077B5CBB" w:rsidP="077B5CBB">
            <w:pPr>
              <w:contextualSpacing/>
              <w:rPr>
                <w:rFonts w:ascii="Arial" w:hAnsi="Arial" w:cs="Arial"/>
                <w:b/>
                <w:bCs/>
              </w:rPr>
            </w:pPr>
            <w:r w:rsidRPr="077B5CBB">
              <w:rPr>
                <w:rFonts w:ascii="Arial" w:hAnsi="Arial" w:cs="Arial"/>
                <w:b/>
                <w:bCs/>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41CBAA8" w14:textId="77777777" w:rsidR="00780054" w:rsidRPr="00780054" w:rsidRDefault="077B5CBB" w:rsidP="077B5CBB">
            <w:pPr>
              <w:contextualSpacing/>
              <w:rPr>
                <w:rFonts w:ascii="Arial" w:hAnsi="Arial" w:cs="Arial"/>
              </w:rPr>
            </w:pPr>
            <w:r w:rsidRPr="077B5CBB">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D319547" w14:textId="77777777" w:rsidR="00780054" w:rsidRPr="00780054" w:rsidRDefault="00780054" w:rsidP="00780054">
            <w:pPr>
              <w:contextualSpacing/>
              <w:rPr>
                <w:rFonts w:ascii="Arial" w:hAnsi="Arial" w:cs="Arial"/>
              </w:rPr>
            </w:pPr>
          </w:p>
          <w:p w14:paraId="12387AE5" w14:textId="77777777" w:rsidR="00780054" w:rsidRPr="00780054" w:rsidRDefault="077B5CBB" w:rsidP="077B5CBB">
            <w:pPr>
              <w:contextualSpacing/>
              <w:rPr>
                <w:rFonts w:ascii="Arial" w:hAnsi="Arial" w:cs="Arial"/>
              </w:rPr>
            </w:pPr>
            <w:r w:rsidRPr="077B5CBB">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BCF5C37" w14:textId="77777777" w:rsidR="00780054" w:rsidRPr="00780054" w:rsidRDefault="001B1497" w:rsidP="00780054">
            <w:pPr>
              <w:contextualSpacing/>
              <w:rPr>
                <w:rFonts w:ascii="Arial" w:hAnsi="Arial" w:cs="Arial"/>
              </w:rPr>
            </w:pPr>
            <w:hyperlink r:id="rId21" w:history="1">
              <w:r w:rsidR="00780054" w:rsidRPr="00780054">
                <w:rPr>
                  <w:rStyle w:val="Hyperlink"/>
                  <w:rFonts w:ascii="Arial" w:hAnsi="Arial" w:cs="Arial"/>
                </w:rPr>
                <w:t>Complete</w:t>
              </w:r>
            </w:hyperlink>
          </w:p>
          <w:p w14:paraId="7D116638" w14:textId="77777777" w:rsidR="00780054" w:rsidRPr="00780054" w:rsidRDefault="00780054" w:rsidP="00780054">
            <w:pPr>
              <w:contextualSpacing/>
              <w:rPr>
                <w:rFonts w:ascii="Arial" w:hAnsi="Arial" w:cs="Arial"/>
              </w:rPr>
            </w:pPr>
          </w:p>
        </w:tc>
      </w:tr>
      <w:tr w:rsidR="00780054" w:rsidRPr="00780054" w14:paraId="3BA04A94" w14:textId="77777777" w:rsidTr="077B5CBB">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B405" w14:textId="77777777" w:rsidR="00780054" w:rsidRPr="00780054" w:rsidRDefault="077B5CBB" w:rsidP="077B5CBB">
            <w:pPr>
              <w:contextualSpacing/>
              <w:rPr>
                <w:rFonts w:ascii="Arial" w:hAnsi="Arial" w:cs="Arial"/>
                <w:b/>
                <w:bCs/>
              </w:rPr>
            </w:pPr>
            <w:r w:rsidRPr="077B5CBB">
              <w:rPr>
                <w:rFonts w:ascii="Arial" w:hAnsi="Arial" w:cs="Arial"/>
                <w:b/>
                <w:bCs/>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D9FE7A" w14:textId="77777777" w:rsidR="00780054" w:rsidRPr="00780054" w:rsidRDefault="077B5CBB" w:rsidP="077B5CBB">
            <w:pPr>
              <w:contextualSpacing/>
              <w:rPr>
                <w:rFonts w:ascii="Arial" w:hAnsi="Arial" w:cs="Arial"/>
              </w:rPr>
            </w:pPr>
            <w:r w:rsidRPr="077B5CBB">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F048649" w14:textId="77777777" w:rsidR="00780054" w:rsidRPr="00780054" w:rsidRDefault="001B1497" w:rsidP="00780054">
            <w:pPr>
              <w:contextualSpacing/>
              <w:rPr>
                <w:rFonts w:ascii="Arial" w:hAnsi="Arial" w:cs="Arial"/>
              </w:rPr>
            </w:pPr>
            <w:hyperlink r:id="rId22" w:history="1">
              <w:r w:rsidR="00780054" w:rsidRPr="00780054">
                <w:rPr>
                  <w:rStyle w:val="Hyperlink"/>
                  <w:rFonts w:ascii="Arial" w:hAnsi="Arial" w:cs="Arial"/>
                </w:rPr>
                <w:t>Complete</w:t>
              </w:r>
            </w:hyperlink>
          </w:p>
        </w:tc>
      </w:tr>
      <w:tr w:rsidR="00780054" w:rsidRPr="00780054" w14:paraId="758F01DB" w14:textId="77777777" w:rsidTr="077B5CBB">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E21D" w14:textId="77777777" w:rsidR="00780054" w:rsidRPr="00780054" w:rsidRDefault="077B5CBB" w:rsidP="077B5CBB">
            <w:pPr>
              <w:contextualSpacing/>
              <w:rPr>
                <w:rFonts w:ascii="Arial" w:hAnsi="Arial" w:cs="Arial"/>
                <w:b/>
                <w:bCs/>
              </w:rPr>
            </w:pPr>
            <w:r w:rsidRPr="077B5CBB">
              <w:rPr>
                <w:rFonts w:ascii="Arial" w:hAnsi="Arial" w:cs="Arial"/>
                <w:b/>
                <w:bCs/>
              </w:rPr>
              <w:t>Council tax equalisation: develop a model</w:t>
            </w:r>
          </w:p>
          <w:p w14:paraId="06443DEB" w14:textId="77777777" w:rsidR="00780054" w:rsidRPr="00780054" w:rsidRDefault="00780054" w:rsidP="00780054">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3080983" w14:textId="77777777" w:rsidR="00780054" w:rsidRPr="00780054" w:rsidRDefault="077B5CBB" w:rsidP="077B5CBB">
            <w:pPr>
              <w:contextualSpacing/>
              <w:rPr>
                <w:rFonts w:ascii="Arial" w:hAnsi="Arial" w:cs="Arial"/>
              </w:rPr>
            </w:pPr>
            <w:r w:rsidRPr="077B5CBB">
              <w:rPr>
                <w:rFonts w:ascii="Arial" w:hAnsi="Arial" w:cs="Arial"/>
              </w:rPr>
              <w:t>A model to identify the impact of adjustments for council tax and council tax support on individual authorities.</w:t>
            </w:r>
          </w:p>
          <w:p w14:paraId="66618F59" w14:textId="77777777" w:rsidR="00780054" w:rsidRPr="00780054" w:rsidRDefault="077B5CBB" w:rsidP="077B5CBB">
            <w:pPr>
              <w:contextualSpacing/>
              <w:rPr>
                <w:rFonts w:ascii="Arial" w:hAnsi="Arial" w:cs="Arial"/>
              </w:rPr>
            </w:pPr>
            <w:r w:rsidRPr="077B5CBB">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7C54258" w14:textId="77777777" w:rsidR="00780054" w:rsidRPr="00780054" w:rsidRDefault="001B1497" w:rsidP="00780054">
            <w:pPr>
              <w:contextualSpacing/>
              <w:rPr>
                <w:rFonts w:ascii="Arial" w:hAnsi="Arial" w:cs="Arial"/>
              </w:rPr>
            </w:pPr>
            <w:hyperlink r:id="rId23" w:history="1">
              <w:r w:rsidR="00780054" w:rsidRPr="00780054">
                <w:rPr>
                  <w:rStyle w:val="Hyperlink"/>
                  <w:rFonts w:ascii="Arial" w:hAnsi="Arial" w:cs="Arial"/>
                </w:rPr>
                <w:t>Complete</w:t>
              </w:r>
            </w:hyperlink>
          </w:p>
        </w:tc>
      </w:tr>
      <w:tr w:rsidR="00780054" w:rsidRPr="00780054" w14:paraId="04DDB414" w14:textId="77777777" w:rsidTr="077B5CBB">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47313D" w14:textId="77777777" w:rsidR="00780054" w:rsidRPr="00780054" w:rsidRDefault="077B5CBB" w:rsidP="077B5CBB">
            <w:pPr>
              <w:contextualSpacing/>
              <w:rPr>
                <w:rFonts w:ascii="Arial" w:hAnsi="Arial" w:cs="Arial"/>
                <w:b/>
                <w:bCs/>
              </w:rPr>
            </w:pPr>
            <w:r w:rsidRPr="077B5CBB">
              <w:rPr>
                <w:rFonts w:ascii="Arial" w:hAnsi="Arial" w:cs="Arial"/>
                <w:b/>
                <w:bCs/>
              </w:rPr>
              <w:t>Damping</w:t>
            </w:r>
          </w:p>
          <w:p w14:paraId="68389C3E" w14:textId="77777777" w:rsidR="00780054" w:rsidRPr="00780054" w:rsidRDefault="077B5CBB" w:rsidP="077B5CBB">
            <w:pPr>
              <w:contextualSpacing/>
              <w:rPr>
                <w:rFonts w:ascii="Arial" w:hAnsi="Arial" w:cs="Arial"/>
                <w:b/>
                <w:bCs/>
              </w:rPr>
            </w:pPr>
            <w:r w:rsidRPr="077B5CBB">
              <w:rPr>
                <w:rFonts w:ascii="Arial" w:hAnsi="Arial" w:cs="Arial"/>
                <w:b/>
                <w:bCs/>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ECEE15F" w14:textId="0DDEF142" w:rsidR="00780054" w:rsidRPr="00780054" w:rsidRDefault="077B5CBB" w:rsidP="077B5CBB">
            <w:pPr>
              <w:contextualSpacing/>
              <w:rPr>
                <w:rFonts w:ascii="Arial" w:hAnsi="Arial" w:cs="Arial"/>
              </w:rPr>
            </w:pPr>
            <w:r w:rsidRPr="077B5CBB">
              <w:rPr>
                <w:rFonts w:ascii="Arial" w:hAnsi="Arial" w:cs="Arial"/>
              </w:rPr>
              <w:t>A summary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1A8D41A" w14:textId="75ED1946" w:rsidR="00780054" w:rsidRPr="00780054" w:rsidRDefault="00314765" w:rsidP="00D81730">
            <w:pPr>
              <w:contextualSpacing/>
              <w:rPr>
                <w:rFonts w:ascii="Arial" w:hAnsi="Arial" w:cs="Arial"/>
              </w:rPr>
            </w:pPr>
            <w:r w:rsidRPr="00780054">
              <w:rPr>
                <w:rFonts w:ascii="Arial" w:hAnsi="Arial" w:cs="Arial"/>
              </w:rPr>
              <w:t xml:space="preserve">Suppliers appointed; work expected to be </w:t>
            </w:r>
            <w:r w:rsidR="00D81730">
              <w:rPr>
                <w:rFonts w:ascii="Arial" w:hAnsi="Arial" w:cs="Arial"/>
              </w:rPr>
              <w:t>published</w:t>
            </w:r>
            <w:r w:rsidRPr="00780054">
              <w:rPr>
                <w:rFonts w:ascii="Arial" w:hAnsi="Arial" w:cs="Arial"/>
              </w:rPr>
              <w:t xml:space="preserve"> </w:t>
            </w:r>
            <w:r>
              <w:rPr>
                <w:rFonts w:ascii="Arial" w:hAnsi="Arial" w:cs="Arial"/>
              </w:rPr>
              <w:t xml:space="preserve">in </w:t>
            </w:r>
            <w:r w:rsidR="00D81730">
              <w:rPr>
                <w:rFonts w:ascii="Arial" w:hAnsi="Arial" w:cs="Arial"/>
              </w:rPr>
              <w:t xml:space="preserve">late </w:t>
            </w:r>
            <w:r w:rsidRPr="00780054">
              <w:rPr>
                <w:rFonts w:ascii="Arial" w:hAnsi="Arial" w:cs="Arial"/>
              </w:rPr>
              <w:t>2018</w:t>
            </w:r>
            <w:r w:rsidR="00D81730">
              <w:rPr>
                <w:rFonts w:ascii="Arial" w:hAnsi="Arial" w:cs="Arial"/>
              </w:rPr>
              <w:t xml:space="preserve"> </w:t>
            </w:r>
            <w:r w:rsidR="0060626C">
              <w:rPr>
                <w:rFonts w:ascii="Arial" w:hAnsi="Arial" w:cs="Arial"/>
              </w:rPr>
              <w:t xml:space="preserve">or </w:t>
            </w:r>
            <w:r w:rsidR="00D81730">
              <w:rPr>
                <w:rFonts w:ascii="Arial" w:hAnsi="Arial" w:cs="Arial"/>
              </w:rPr>
              <w:t>early 20</w:t>
            </w:r>
            <w:r w:rsidR="0030601C">
              <w:rPr>
                <w:rFonts w:ascii="Arial" w:hAnsi="Arial" w:cs="Arial"/>
              </w:rPr>
              <w:t>19</w:t>
            </w:r>
            <w:r w:rsidRPr="00780054">
              <w:rPr>
                <w:rFonts w:ascii="Arial" w:hAnsi="Arial" w:cs="Arial"/>
              </w:rPr>
              <w:t>.</w:t>
            </w:r>
          </w:p>
        </w:tc>
      </w:tr>
      <w:tr w:rsidR="00780054" w:rsidRPr="00780054" w14:paraId="6A3E3316" w14:textId="77777777" w:rsidTr="077B5CBB">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521372" w14:textId="77777777" w:rsidR="00780054" w:rsidRPr="00780054" w:rsidRDefault="077B5CBB" w:rsidP="077B5CBB">
            <w:pPr>
              <w:contextualSpacing/>
              <w:rPr>
                <w:rFonts w:ascii="Arial" w:hAnsi="Arial" w:cs="Arial"/>
                <w:b/>
                <w:bCs/>
              </w:rPr>
            </w:pPr>
            <w:r w:rsidRPr="077B5CBB">
              <w:rPr>
                <w:rFonts w:ascii="Arial" w:hAnsi="Arial" w:cs="Arial"/>
                <w:b/>
                <w:bCs/>
              </w:rPr>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C0CE64" w14:textId="77777777" w:rsidR="00780054" w:rsidRPr="00780054" w:rsidRDefault="077B5CBB" w:rsidP="077B5CBB">
            <w:pPr>
              <w:contextualSpacing/>
              <w:rPr>
                <w:rFonts w:ascii="Arial" w:hAnsi="Arial" w:cs="Arial"/>
              </w:rPr>
            </w:pPr>
            <w:r w:rsidRPr="077B5CBB">
              <w:rPr>
                <w:rFonts w:ascii="Arial" w:hAnsi="Arial" w:cs="Arial"/>
              </w:rPr>
              <w:t>A model to enable LGA and local authorities to assess the impact of system design choices in areas including:</w:t>
            </w:r>
          </w:p>
          <w:p w14:paraId="72BA7ADD" w14:textId="77777777" w:rsidR="00780054" w:rsidRPr="00780054" w:rsidRDefault="077B5CBB" w:rsidP="077B5CBB">
            <w:pPr>
              <w:numPr>
                <w:ilvl w:val="0"/>
                <w:numId w:val="15"/>
              </w:numPr>
              <w:contextualSpacing/>
              <w:rPr>
                <w:rFonts w:ascii="Arial" w:hAnsi="Arial" w:cs="Arial"/>
              </w:rPr>
            </w:pPr>
            <w:r w:rsidRPr="077B5CBB">
              <w:rPr>
                <w:rFonts w:ascii="Arial" w:hAnsi="Arial" w:cs="Arial"/>
              </w:rPr>
              <w:t>The setting of business rates baselines;</w:t>
            </w:r>
          </w:p>
          <w:p w14:paraId="77085463" w14:textId="77777777" w:rsidR="00780054" w:rsidRPr="00780054" w:rsidRDefault="077B5CBB" w:rsidP="077B5CBB">
            <w:pPr>
              <w:numPr>
                <w:ilvl w:val="0"/>
                <w:numId w:val="15"/>
              </w:numPr>
              <w:contextualSpacing/>
              <w:rPr>
                <w:rFonts w:ascii="Arial" w:hAnsi="Arial" w:cs="Arial"/>
              </w:rPr>
            </w:pPr>
            <w:r w:rsidRPr="077B5CBB">
              <w:rPr>
                <w:rFonts w:ascii="Arial" w:hAnsi="Arial" w:cs="Arial"/>
              </w:rPr>
              <w:t>The extent and frequency of business rates resets;</w:t>
            </w:r>
          </w:p>
          <w:p w14:paraId="159A4D95" w14:textId="77777777" w:rsidR="00780054" w:rsidRPr="00780054" w:rsidRDefault="077B5CBB" w:rsidP="077B5CBB">
            <w:pPr>
              <w:numPr>
                <w:ilvl w:val="0"/>
                <w:numId w:val="15"/>
              </w:numPr>
              <w:contextualSpacing/>
              <w:rPr>
                <w:rFonts w:ascii="Arial" w:hAnsi="Arial" w:cs="Arial"/>
              </w:rPr>
            </w:pPr>
            <w:r w:rsidRPr="077B5CBB">
              <w:rPr>
                <w:rFonts w:ascii="Arial" w:hAnsi="Arial" w:cs="Arial"/>
              </w:rPr>
              <w:t>Dealing with losses due to appeals;</w:t>
            </w:r>
          </w:p>
          <w:p w14:paraId="5B9F0B18" w14:textId="1328382C" w:rsidR="00780054" w:rsidRPr="00780054" w:rsidRDefault="077B5CBB" w:rsidP="077B5CBB">
            <w:pPr>
              <w:numPr>
                <w:ilvl w:val="0"/>
                <w:numId w:val="15"/>
              </w:numPr>
              <w:contextualSpacing/>
              <w:rPr>
                <w:rFonts w:ascii="Arial" w:hAnsi="Arial" w:cs="Arial"/>
              </w:rPr>
            </w:pPr>
            <w:r w:rsidRPr="077B5CBB">
              <w:rPr>
                <w:rFonts w:ascii="Arial" w:hAnsi="Arial" w:cs="Arial"/>
              </w:rPr>
              <w:t xml:space="preserve">The level of the safety net and how it is funded; </w:t>
            </w:r>
          </w:p>
          <w:p w14:paraId="7F7979DF" w14:textId="77777777" w:rsidR="00780054" w:rsidRPr="00780054" w:rsidRDefault="077B5CBB" w:rsidP="077B5CBB">
            <w:pPr>
              <w:numPr>
                <w:ilvl w:val="0"/>
                <w:numId w:val="15"/>
              </w:numPr>
              <w:contextualSpacing/>
              <w:rPr>
                <w:rFonts w:ascii="Arial" w:hAnsi="Arial" w:cs="Arial"/>
              </w:rPr>
            </w:pPr>
            <w:r w:rsidRPr="077B5CBB">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455E43" w14:textId="2DEE6866" w:rsidR="00780054" w:rsidRPr="00780054" w:rsidRDefault="001B1497" w:rsidP="077B5CBB">
            <w:pPr>
              <w:contextualSpacing/>
              <w:rPr>
                <w:rFonts w:ascii="Arial" w:hAnsi="Arial" w:cs="Arial"/>
              </w:rPr>
            </w:pPr>
            <w:hyperlink r:id="rId24" w:history="1">
              <w:r w:rsidR="005E06AE" w:rsidRPr="005E06AE">
                <w:rPr>
                  <w:rStyle w:val="Hyperlink"/>
                  <w:rFonts w:ascii="Arial" w:hAnsi="Arial" w:cs="Arial"/>
                </w:rPr>
                <w:t>Complete</w:t>
              </w:r>
            </w:hyperlink>
          </w:p>
        </w:tc>
      </w:tr>
    </w:tbl>
    <w:p w14:paraId="2CCA14FC" w14:textId="2055DD81" w:rsidR="00780054" w:rsidRDefault="00780054">
      <w:pPr>
        <w:spacing w:after="160" w:line="259" w:lineRule="auto"/>
        <w:rPr>
          <w:rFonts w:ascii="Arial" w:hAnsi="Arial" w:cs="Arial"/>
          <w:b/>
        </w:rPr>
      </w:pPr>
    </w:p>
    <w:sectPr w:rsidR="00780054"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3523" w16cid:durableId="1F2A4B61"/>
  <w16cid:commentId w16cid:paraId="6B36A15E" w16cid:durableId="1F5DD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BE5D2" w14:textId="77777777" w:rsidR="00C35DFE" w:rsidRDefault="00C35DFE">
      <w:r>
        <w:separator/>
      </w:r>
    </w:p>
  </w:endnote>
  <w:endnote w:type="continuationSeparator" w:id="0">
    <w:p w14:paraId="53CE06A1" w14:textId="77777777" w:rsidR="00C35DFE" w:rsidRDefault="00C35DFE">
      <w:r>
        <w:continuationSeparator/>
      </w:r>
    </w:p>
  </w:endnote>
  <w:endnote w:type="continuationNotice" w:id="1">
    <w:p w14:paraId="58C60E4E" w14:textId="77777777" w:rsidR="00C35DFE" w:rsidRDefault="00C35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A485" w14:textId="77777777" w:rsidR="00C043A9" w:rsidRDefault="00C04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C35DFE" w:rsidRDefault="00C35DF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A0AD" w14:textId="77777777" w:rsidR="00C043A9" w:rsidRDefault="00C04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FF71" w14:textId="77777777" w:rsidR="00C35DFE" w:rsidRDefault="00C35DFE">
      <w:r>
        <w:separator/>
      </w:r>
    </w:p>
  </w:footnote>
  <w:footnote w:type="continuationSeparator" w:id="0">
    <w:p w14:paraId="3B633ADB" w14:textId="77777777" w:rsidR="00C35DFE" w:rsidRDefault="00C35DFE">
      <w:r>
        <w:continuationSeparator/>
      </w:r>
    </w:p>
  </w:footnote>
  <w:footnote w:type="continuationNotice" w:id="1">
    <w:p w14:paraId="67AAE7F0" w14:textId="77777777" w:rsidR="00C35DFE" w:rsidRDefault="00C35D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1B55" w14:textId="77777777" w:rsidR="00C043A9" w:rsidRDefault="00C04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8729" w14:textId="77777777" w:rsidR="00764FD9" w:rsidRDefault="00764FD9" w:rsidP="00764FD9">
    <w:pPr>
      <w:pStyle w:val="Header"/>
      <w:tabs>
        <w:tab w:val="clear" w:pos="4153"/>
        <w:tab w:val="left" w:pos="5670"/>
      </w:tabs>
      <w:rPr>
        <w:rFonts w:cs="Arial"/>
        <w:szCs w:val="24"/>
        <w:lang w:eastAsia="en-US"/>
      </w:rPr>
    </w:pPr>
  </w:p>
  <w:tbl>
    <w:tblPr>
      <w:tblW w:w="9464" w:type="dxa"/>
      <w:tblLook w:val="01E0" w:firstRow="1" w:lastRow="1" w:firstColumn="1" w:lastColumn="1" w:noHBand="0" w:noVBand="0"/>
    </w:tblPr>
    <w:tblGrid>
      <w:gridCol w:w="5778"/>
      <w:gridCol w:w="3686"/>
    </w:tblGrid>
    <w:tr w:rsidR="00C046BE" w14:paraId="64C463B1" w14:textId="77777777" w:rsidTr="00C046BE">
      <w:tc>
        <w:tcPr>
          <w:tcW w:w="5778" w:type="dxa"/>
          <w:vMerge w:val="restart"/>
        </w:tcPr>
        <w:p w14:paraId="02F4E55D" w14:textId="344B819A" w:rsidR="00C046BE" w:rsidRDefault="00C046BE" w:rsidP="00C046BE">
          <w:pPr>
            <w:pStyle w:val="Header"/>
            <w:rPr>
              <w:lang w:eastAsia="en-US"/>
            </w:rPr>
          </w:pPr>
          <w:r>
            <w:rPr>
              <w:rFonts w:cs="Arial"/>
              <w:noProof/>
              <w:sz w:val="44"/>
              <w:szCs w:val="44"/>
            </w:rPr>
            <w:drawing>
              <wp:inline distT="0" distB="0" distL="0" distR="0" wp14:anchorId="0FA6897B" wp14:editId="12ADE589">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tcPr>
        <w:p w14:paraId="080FE4AD" w14:textId="7D421FE6" w:rsidR="00C046BE" w:rsidRDefault="00C043A9" w:rsidP="00C046BE">
          <w:pPr>
            <w:pStyle w:val="Header"/>
            <w:rPr>
              <w:b/>
              <w:szCs w:val="22"/>
              <w:lang w:eastAsia="en-US"/>
            </w:rPr>
          </w:pPr>
          <w:r>
            <w:rPr>
              <w:szCs w:val="40"/>
            </w:rPr>
            <w:t>LGA Executive</w:t>
          </w:r>
        </w:p>
      </w:tc>
    </w:tr>
    <w:tr w:rsidR="00C046BE" w14:paraId="683621E6" w14:textId="77777777" w:rsidTr="00C046BE">
      <w:trPr>
        <w:trHeight w:val="450"/>
      </w:trPr>
      <w:tc>
        <w:tcPr>
          <w:tcW w:w="0" w:type="auto"/>
          <w:vMerge/>
          <w:vAlign w:val="center"/>
        </w:tcPr>
        <w:p w14:paraId="5D315987" w14:textId="77777777" w:rsidR="00C046BE" w:rsidRDefault="00C046BE" w:rsidP="00C046BE">
          <w:pPr>
            <w:rPr>
              <w:sz w:val="24"/>
              <w:lang w:eastAsia="en-US"/>
            </w:rPr>
          </w:pPr>
        </w:p>
      </w:tc>
      <w:tc>
        <w:tcPr>
          <w:tcW w:w="3686" w:type="dxa"/>
          <w:vAlign w:val="center"/>
        </w:tcPr>
        <w:p w14:paraId="063335F0" w14:textId="77777777" w:rsidR="00C046BE" w:rsidRDefault="00C046BE" w:rsidP="00C043A9">
          <w:pPr>
            <w:pStyle w:val="Header"/>
            <w:rPr>
              <w:rFonts w:cs="Arial"/>
              <w:szCs w:val="22"/>
              <w:lang w:eastAsia="en-US"/>
            </w:rPr>
          </w:pPr>
        </w:p>
        <w:p w14:paraId="26AA240F" w14:textId="5CD23198" w:rsidR="00C043A9" w:rsidRDefault="00C043A9" w:rsidP="00C043A9">
          <w:pPr>
            <w:pStyle w:val="Header"/>
            <w:rPr>
              <w:rFonts w:cs="Arial"/>
              <w:szCs w:val="22"/>
              <w:lang w:eastAsia="en-US"/>
            </w:rPr>
          </w:pPr>
          <w:r>
            <w:rPr>
              <w:rFonts w:cs="Arial"/>
              <w:szCs w:val="22"/>
              <w:lang w:eastAsia="en-US"/>
            </w:rPr>
            <w:t>06 December 2018</w:t>
          </w:r>
        </w:p>
      </w:tc>
    </w:tr>
    <w:tr w:rsidR="00C046BE" w14:paraId="094C4F4E" w14:textId="77777777" w:rsidTr="00C046BE">
      <w:trPr>
        <w:trHeight w:val="450"/>
      </w:trPr>
      <w:tc>
        <w:tcPr>
          <w:tcW w:w="0" w:type="auto"/>
          <w:vMerge/>
          <w:vAlign w:val="center"/>
        </w:tcPr>
        <w:p w14:paraId="7FBF5535" w14:textId="77777777" w:rsidR="00C046BE" w:rsidRDefault="00C046BE" w:rsidP="00C046BE">
          <w:pPr>
            <w:rPr>
              <w:sz w:val="24"/>
              <w:lang w:eastAsia="en-US"/>
            </w:rPr>
          </w:pPr>
        </w:p>
      </w:tc>
      <w:tc>
        <w:tcPr>
          <w:tcW w:w="3686" w:type="dxa"/>
          <w:vAlign w:val="center"/>
        </w:tcPr>
        <w:p w14:paraId="6A34DE98" w14:textId="77777777" w:rsidR="00C046BE" w:rsidRDefault="00C046BE" w:rsidP="00C046BE">
          <w:pPr>
            <w:pStyle w:val="Header"/>
            <w:spacing w:before="60"/>
            <w:rPr>
              <w:rFonts w:cs="Arial"/>
              <w:b/>
              <w:szCs w:val="22"/>
              <w:lang w:eastAsia="en-US"/>
            </w:rPr>
          </w:pPr>
        </w:p>
      </w:tc>
    </w:tr>
  </w:tbl>
  <w:p w14:paraId="27E4CD59" w14:textId="77777777" w:rsidR="00C046BE" w:rsidRDefault="00C046BE" w:rsidP="00764FD9">
    <w:pPr>
      <w:pStyle w:val="Header"/>
      <w:tabs>
        <w:tab w:val="clear" w:pos="4153"/>
        <w:tab w:val="left" w:pos="5670"/>
      </w:tabs>
      <w:rPr>
        <w:rFonts w:cs="Arial"/>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35DFE" w:rsidRDefault="00C35DFE" w:rsidP="00765850">
    <w:pPr>
      <w:pStyle w:val="Header"/>
      <w:rPr>
        <w:sz w:val="2"/>
      </w:rPr>
    </w:pPr>
  </w:p>
  <w:p w14:paraId="3E8322C2" w14:textId="77777777" w:rsidR="00C35DFE" w:rsidRDefault="00C35DFE"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C35DFE" w:rsidRPr="001D2C76" w14:paraId="3E8322C5" w14:textId="77777777" w:rsidTr="077B5CBB">
      <w:tc>
        <w:tcPr>
          <w:tcW w:w="6062" w:type="dxa"/>
          <w:vMerge w:val="restart"/>
        </w:tcPr>
        <w:p w14:paraId="3E8322C3" w14:textId="77777777" w:rsidR="00C35DFE" w:rsidRDefault="00C35DFE"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35DFE" w:rsidRPr="001D2C76" w:rsidRDefault="00C35DFE" w:rsidP="077B5CBB">
          <w:pPr>
            <w:pStyle w:val="Header"/>
            <w:rPr>
              <w:b/>
              <w:bCs/>
            </w:rPr>
          </w:pPr>
          <w:r w:rsidRPr="077B5CBB">
            <w:rPr>
              <w:rFonts w:ascii="Arial" w:hAnsi="Arial" w:cs="Arial"/>
              <w:b/>
              <w:bCs/>
              <w:sz w:val="24"/>
              <w:szCs w:val="24"/>
            </w:rPr>
            <w:t>Meeting title</w:t>
          </w:r>
        </w:p>
      </w:tc>
    </w:tr>
    <w:tr w:rsidR="00C35DFE" w14:paraId="3E8322C8" w14:textId="77777777" w:rsidTr="077B5CBB">
      <w:trPr>
        <w:trHeight w:val="450"/>
      </w:trPr>
      <w:tc>
        <w:tcPr>
          <w:tcW w:w="6062" w:type="dxa"/>
          <w:vMerge/>
        </w:tcPr>
        <w:p w14:paraId="3E8322C6" w14:textId="77777777" w:rsidR="00C35DFE" w:rsidRDefault="00C35DFE" w:rsidP="00765850">
          <w:pPr>
            <w:pStyle w:val="Header"/>
          </w:pPr>
        </w:p>
      </w:tc>
      <w:tc>
        <w:tcPr>
          <w:tcW w:w="3225" w:type="dxa"/>
        </w:tcPr>
        <w:p w14:paraId="3E8322C7" w14:textId="77777777" w:rsidR="00C35DFE" w:rsidRDefault="00C35DFE" w:rsidP="00765850">
          <w:pPr>
            <w:pStyle w:val="Header"/>
            <w:spacing w:before="60"/>
          </w:pPr>
          <w:r w:rsidRPr="077B5CBB">
            <w:rPr>
              <w:rFonts w:ascii="Arial" w:hAnsi="Arial" w:cs="Arial"/>
              <w:sz w:val="24"/>
              <w:szCs w:val="24"/>
            </w:rPr>
            <w:t xml:space="preserve">Meeting date </w:t>
          </w:r>
        </w:p>
      </w:tc>
    </w:tr>
    <w:tr w:rsidR="00C35DFE" w14:paraId="3E8322CC" w14:textId="77777777" w:rsidTr="077B5CBB">
      <w:trPr>
        <w:trHeight w:val="450"/>
      </w:trPr>
      <w:tc>
        <w:tcPr>
          <w:tcW w:w="6062" w:type="dxa"/>
          <w:vMerge/>
        </w:tcPr>
        <w:p w14:paraId="3E8322C9" w14:textId="77777777" w:rsidR="00C35DFE" w:rsidRDefault="00C35DFE" w:rsidP="00765850">
          <w:pPr>
            <w:pStyle w:val="Header"/>
          </w:pPr>
        </w:p>
      </w:tc>
      <w:tc>
        <w:tcPr>
          <w:tcW w:w="3225" w:type="dxa"/>
        </w:tcPr>
        <w:p w14:paraId="3E8322CA" w14:textId="77777777" w:rsidR="00C35DFE" w:rsidRDefault="00C35DFE" w:rsidP="00765850">
          <w:pPr>
            <w:pStyle w:val="Header"/>
            <w:spacing w:before="60"/>
            <w:rPr>
              <w:rFonts w:ascii="Arial" w:hAnsi="Arial" w:cs="Arial"/>
              <w:b/>
              <w:sz w:val="24"/>
              <w:szCs w:val="24"/>
            </w:rPr>
          </w:pPr>
        </w:p>
        <w:p w14:paraId="3E8322CB" w14:textId="77777777" w:rsidR="00C35DFE" w:rsidRPr="00546D0D" w:rsidRDefault="00C35DFE" w:rsidP="077B5CBB">
          <w:pPr>
            <w:pStyle w:val="Header"/>
            <w:spacing w:before="60"/>
            <w:rPr>
              <w:rFonts w:ascii="Arial" w:hAnsi="Arial" w:cs="Arial"/>
              <w:b/>
              <w:bCs/>
              <w:sz w:val="24"/>
              <w:szCs w:val="24"/>
            </w:rPr>
          </w:pPr>
          <w:r w:rsidRPr="077B5CBB">
            <w:rPr>
              <w:rFonts w:ascii="Arial" w:hAnsi="Arial" w:cs="Arial"/>
              <w:b/>
              <w:bCs/>
              <w:sz w:val="24"/>
              <w:szCs w:val="24"/>
            </w:rPr>
            <w:t>Item X</w:t>
          </w:r>
        </w:p>
      </w:tc>
    </w:tr>
  </w:tbl>
  <w:p w14:paraId="3E8322CD" w14:textId="77777777" w:rsidR="00C35DFE" w:rsidRDefault="00C35DFE" w:rsidP="0076585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635C" w14:textId="77777777" w:rsidR="00C35DFE" w:rsidRDefault="00C35DFE">
    <w:pPr>
      <w:pStyle w:val="Header"/>
      <w:rPr>
        <w:rFonts w:ascii="Arial" w:hAnsi="Arial" w:cs="Arial"/>
      </w:rPr>
    </w:pPr>
  </w:p>
  <w:tbl>
    <w:tblPr>
      <w:tblW w:w="0" w:type="auto"/>
      <w:tblLook w:val="01E0" w:firstRow="1" w:lastRow="1" w:firstColumn="1" w:lastColumn="1" w:noHBand="0" w:noVBand="0"/>
    </w:tblPr>
    <w:tblGrid>
      <w:gridCol w:w="5823"/>
      <w:gridCol w:w="3203"/>
    </w:tblGrid>
    <w:tr w:rsidR="00D33809" w14:paraId="3E1961DB" w14:textId="77777777" w:rsidTr="00D33809">
      <w:tc>
        <w:tcPr>
          <w:tcW w:w="5920" w:type="dxa"/>
          <w:vMerge w:val="restart"/>
          <w:hideMark/>
        </w:tcPr>
        <w:p w14:paraId="276BC277" w14:textId="032B2E65" w:rsidR="00D33809" w:rsidRDefault="00D33809" w:rsidP="00D33809">
          <w:pPr>
            <w:pStyle w:val="Header"/>
            <w:tabs>
              <w:tab w:val="center" w:pos="2923"/>
            </w:tabs>
          </w:pPr>
          <w:r>
            <w:rPr>
              <w:rFonts w:ascii="Arial" w:hAnsi="Arial" w:cs="Arial"/>
              <w:noProof/>
              <w:sz w:val="44"/>
              <w:szCs w:val="44"/>
            </w:rPr>
            <w:drawing>
              <wp:inline distT="0" distB="0" distL="0" distR="0" wp14:anchorId="69601E00" wp14:editId="3BD8B1D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6C100840" w14:textId="77777777" w:rsidR="00D33809" w:rsidRDefault="00D33809" w:rsidP="00D33809">
          <w:pPr>
            <w:pStyle w:val="Header"/>
            <w:rPr>
              <w:rFonts w:ascii="Arial" w:hAnsi="Arial" w:cs="Arial"/>
              <w:b/>
              <w:szCs w:val="22"/>
            </w:rPr>
          </w:pPr>
          <w:r>
            <w:rPr>
              <w:rFonts w:ascii="Arial" w:hAnsi="Arial" w:cs="Arial"/>
              <w:b/>
              <w:szCs w:val="22"/>
            </w:rPr>
            <w:t>LGA Executive</w:t>
          </w:r>
        </w:p>
      </w:tc>
    </w:tr>
    <w:tr w:rsidR="00D33809" w14:paraId="5E1B98EC" w14:textId="77777777" w:rsidTr="00D33809">
      <w:trPr>
        <w:trHeight w:val="450"/>
      </w:trPr>
      <w:tc>
        <w:tcPr>
          <w:tcW w:w="0" w:type="auto"/>
          <w:vMerge/>
          <w:vAlign w:val="center"/>
          <w:hideMark/>
        </w:tcPr>
        <w:p w14:paraId="6ECBE9E5" w14:textId="77777777" w:rsidR="00D33809" w:rsidRDefault="00D33809" w:rsidP="00D33809"/>
      </w:tc>
      <w:tc>
        <w:tcPr>
          <w:tcW w:w="3260" w:type="dxa"/>
          <w:vAlign w:val="center"/>
          <w:hideMark/>
        </w:tcPr>
        <w:p w14:paraId="1FD8E024" w14:textId="77777777" w:rsidR="00D33809" w:rsidRDefault="00D33809" w:rsidP="00D33809">
          <w:pPr>
            <w:pStyle w:val="Header"/>
            <w:spacing w:before="60"/>
            <w:rPr>
              <w:rFonts w:ascii="Arial" w:hAnsi="Arial" w:cs="Arial"/>
              <w:szCs w:val="22"/>
            </w:rPr>
          </w:pPr>
          <w:r>
            <w:rPr>
              <w:rFonts w:ascii="Arial" w:hAnsi="Arial" w:cs="Arial"/>
              <w:szCs w:val="22"/>
            </w:rPr>
            <w:t>6 December 2018</w:t>
          </w:r>
        </w:p>
      </w:tc>
    </w:tr>
    <w:tr w:rsidR="00D33809" w14:paraId="38B6DDF8" w14:textId="77777777" w:rsidTr="00D33809">
      <w:trPr>
        <w:trHeight w:val="708"/>
      </w:trPr>
      <w:tc>
        <w:tcPr>
          <w:tcW w:w="0" w:type="auto"/>
          <w:vMerge/>
          <w:vAlign w:val="center"/>
          <w:hideMark/>
        </w:tcPr>
        <w:p w14:paraId="63C67963" w14:textId="77777777" w:rsidR="00D33809" w:rsidRDefault="00D33809" w:rsidP="00D33809"/>
      </w:tc>
      <w:tc>
        <w:tcPr>
          <w:tcW w:w="3260" w:type="dxa"/>
          <w:vAlign w:val="center"/>
        </w:tcPr>
        <w:p w14:paraId="502BBB22" w14:textId="77777777" w:rsidR="00D33809" w:rsidRDefault="00D33809" w:rsidP="00D33809">
          <w:pPr>
            <w:pStyle w:val="Header"/>
            <w:spacing w:before="60"/>
            <w:rPr>
              <w:rFonts w:ascii="Arial" w:hAnsi="Arial" w:cs="Arial"/>
              <w:b/>
              <w:szCs w:val="22"/>
            </w:rPr>
          </w:pPr>
        </w:p>
      </w:tc>
    </w:tr>
  </w:tbl>
  <w:p w14:paraId="43C09AF9" w14:textId="77777777" w:rsidR="00D33809" w:rsidRPr="00D33809" w:rsidRDefault="00D3380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23DF1"/>
    <w:multiLevelType w:val="multilevel"/>
    <w:tmpl w:val="FA90EE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224E6"/>
    <w:multiLevelType w:val="hybridMultilevel"/>
    <w:tmpl w:val="9E64CEAE"/>
    <w:lvl w:ilvl="0" w:tplc="15CA32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B45DF"/>
    <w:multiLevelType w:val="multilevel"/>
    <w:tmpl w:val="61B0F926"/>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01C65"/>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9"/>
  </w:num>
  <w:num w:numId="4">
    <w:abstractNumId w:val="17"/>
  </w:num>
  <w:num w:numId="5">
    <w:abstractNumId w:val="8"/>
  </w:num>
  <w:num w:numId="6">
    <w:abstractNumId w:val="10"/>
  </w:num>
  <w:num w:numId="7">
    <w:abstractNumId w:val="22"/>
  </w:num>
  <w:num w:numId="8">
    <w:abstractNumId w:val="24"/>
  </w:num>
  <w:num w:numId="9">
    <w:abstractNumId w:val="7"/>
  </w:num>
  <w:num w:numId="10">
    <w:abstractNumId w:val="0"/>
  </w:num>
  <w:num w:numId="11">
    <w:abstractNumId w:val="15"/>
  </w:num>
  <w:num w:numId="12">
    <w:abstractNumId w:val="25"/>
  </w:num>
  <w:num w:numId="13">
    <w:abstractNumId w:val="18"/>
  </w:num>
  <w:num w:numId="14">
    <w:abstractNumId w:val="12"/>
  </w:num>
  <w:num w:numId="15">
    <w:abstractNumId w:val="11"/>
  </w:num>
  <w:num w:numId="16">
    <w:abstractNumId w:val="27"/>
  </w:num>
  <w:num w:numId="17">
    <w:abstractNumId w:val="5"/>
  </w:num>
  <w:num w:numId="18">
    <w:abstractNumId w:val="3"/>
  </w:num>
  <w:num w:numId="19">
    <w:abstractNumId w:val="6"/>
  </w:num>
  <w:num w:numId="20">
    <w:abstractNumId w:val="1"/>
  </w:num>
  <w:num w:numId="21">
    <w:abstractNumId w:val="21"/>
  </w:num>
  <w:num w:numId="22">
    <w:abstractNumId w:val="9"/>
  </w:num>
  <w:num w:numId="23">
    <w:abstractNumId w:val="26"/>
  </w:num>
  <w:num w:numId="24">
    <w:abstractNumId w:val="13"/>
  </w:num>
  <w:num w:numId="25">
    <w:abstractNumId w:val="4"/>
  </w:num>
  <w:num w:numId="26">
    <w:abstractNumId w:val="29"/>
  </w:num>
  <w:num w:numId="27">
    <w:abstractNumId w:val="14"/>
  </w:num>
  <w:num w:numId="28">
    <w:abstractNumId w:val="20"/>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147B8"/>
    <w:rsid w:val="00020C26"/>
    <w:rsid w:val="00020F91"/>
    <w:rsid w:val="00026B5D"/>
    <w:rsid w:val="00026EF5"/>
    <w:rsid w:val="0002722E"/>
    <w:rsid w:val="00033432"/>
    <w:rsid w:val="00033D53"/>
    <w:rsid w:val="000351D0"/>
    <w:rsid w:val="00035A9D"/>
    <w:rsid w:val="0003731A"/>
    <w:rsid w:val="00041BC4"/>
    <w:rsid w:val="0004771E"/>
    <w:rsid w:val="00052E14"/>
    <w:rsid w:val="000547C1"/>
    <w:rsid w:val="00055EDB"/>
    <w:rsid w:val="00057D97"/>
    <w:rsid w:val="000615F9"/>
    <w:rsid w:val="00061C0B"/>
    <w:rsid w:val="00064090"/>
    <w:rsid w:val="0006650A"/>
    <w:rsid w:val="00067747"/>
    <w:rsid w:val="0007043F"/>
    <w:rsid w:val="000711BA"/>
    <w:rsid w:val="00071FCE"/>
    <w:rsid w:val="0007520B"/>
    <w:rsid w:val="00084A70"/>
    <w:rsid w:val="00087EAA"/>
    <w:rsid w:val="0009056D"/>
    <w:rsid w:val="0009176D"/>
    <w:rsid w:val="000930BA"/>
    <w:rsid w:val="0009530B"/>
    <w:rsid w:val="00095858"/>
    <w:rsid w:val="000A60B2"/>
    <w:rsid w:val="000A6C09"/>
    <w:rsid w:val="000B161F"/>
    <w:rsid w:val="000B2858"/>
    <w:rsid w:val="000B6EEF"/>
    <w:rsid w:val="000C10AB"/>
    <w:rsid w:val="000C40A3"/>
    <w:rsid w:val="000C7673"/>
    <w:rsid w:val="000D0154"/>
    <w:rsid w:val="000D7999"/>
    <w:rsid w:val="000D7B6D"/>
    <w:rsid w:val="000E0D04"/>
    <w:rsid w:val="000E0DE9"/>
    <w:rsid w:val="000E3D0C"/>
    <w:rsid w:val="000E768B"/>
    <w:rsid w:val="000F0A18"/>
    <w:rsid w:val="000F1763"/>
    <w:rsid w:val="000F1E6D"/>
    <w:rsid w:val="000F3BB1"/>
    <w:rsid w:val="000F5264"/>
    <w:rsid w:val="000F5CDF"/>
    <w:rsid w:val="000F7173"/>
    <w:rsid w:val="00102BFA"/>
    <w:rsid w:val="00103F21"/>
    <w:rsid w:val="00105469"/>
    <w:rsid w:val="00110E60"/>
    <w:rsid w:val="001118C2"/>
    <w:rsid w:val="001125B0"/>
    <w:rsid w:val="001140F5"/>
    <w:rsid w:val="001171DA"/>
    <w:rsid w:val="001171F8"/>
    <w:rsid w:val="00121FAA"/>
    <w:rsid w:val="00122698"/>
    <w:rsid w:val="001237E9"/>
    <w:rsid w:val="00123DEB"/>
    <w:rsid w:val="00124A4F"/>
    <w:rsid w:val="00124F20"/>
    <w:rsid w:val="0013030E"/>
    <w:rsid w:val="001368ED"/>
    <w:rsid w:val="00140DDD"/>
    <w:rsid w:val="00141725"/>
    <w:rsid w:val="001447C2"/>
    <w:rsid w:val="001465B1"/>
    <w:rsid w:val="0016278C"/>
    <w:rsid w:val="00163B2B"/>
    <w:rsid w:val="0016436C"/>
    <w:rsid w:val="001664A3"/>
    <w:rsid w:val="00166A07"/>
    <w:rsid w:val="00167CC4"/>
    <w:rsid w:val="00171294"/>
    <w:rsid w:val="001734D0"/>
    <w:rsid w:val="00177407"/>
    <w:rsid w:val="001833E2"/>
    <w:rsid w:val="00184A63"/>
    <w:rsid w:val="00185D5B"/>
    <w:rsid w:val="001861C9"/>
    <w:rsid w:val="00187129"/>
    <w:rsid w:val="00187AE6"/>
    <w:rsid w:val="00190D62"/>
    <w:rsid w:val="00192C0A"/>
    <w:rsid w:val="00193A63"/>
    <w:rsid w:val="00194078"/>
    <w:rsid w:val="001940B6"/>
    <w:rsid w:val="001B029E"/>
    <w:rsid w:val="001B0E00"/>
    <w:rsid w:val="001B1497"/>
    <w:rsid w:val="001B324E"/>
    <w:rsid w:val="001B36CE"/>
    <w:rsid w:val="001B7024"/>
    <w:rsid w:val="001C09AC"/>
    <w:rsid w:val="001C3AF2"/>
    <w:rsid w:val="001C5324"/>
    <w:rsid w:val="001D06A3"/>
    <w:rsid w:val="001D0ABA"/>
    <w:rsid w:val="001D1A36"/>
    <w:rsid w:val="001D3398"/>
    <w:rsid w:val="001D41E4"/>
    <w:rsid w:val="001D517B"/>
    <w:rsid w:val="001D662A"/>
    <w:rsid w:val="001D70DE"/>
    <w:rsid w:val="001E2520"/>
    <w:rsid w:val="001E3994"/>
    <w:rsid w:val="001E4372"/>
    <w:rsid w:val="001E48D5"/>
    <w:rsid w:val="001E720D"/>
    <w:rsid w:val="001F1F24"/>
    <w:rsid w:val="001F1FF1"/>
    <w:rsid w:val="001F6C3D"/>
    <w:rsid w:val="00201574"/>
    <w:rsid w:val="002048CA"/>
    <w:rsid w:val="00207E80"/>
    <w:rsid w:val="002110E9"/>
    <w:rsid w:val="00215E14"/>
    <w:rsid w:val="002166C3"/>
    <w:rsid w:val="002213E3"/>
    <w:rsid w:val="00221EBA"/>
    <w:rsid w:val="00222DF4"/>
    <w:rsid w:val="0022303A"/>
    <w:rsid w:val="00226F65"/>
    <w:rsid w:val="00233856"/>
    <w:rsid w:val="00242D8A"/>
    <w:rsid w:val="0024375C"/>
    <w:rsid w:val="00243DF2"/>
    <w:rsid w:val="00245629"/>
    <w:rsid w:val="002460A9"/>
    <w:rsid w:val="00255FA2"/>
    <w:rsid w:val="00256711"/>
    <w:rsid w:val="0025763E"/>
    <w:rsid w:val="00261386"/>
    <w:rsid w:val="00262568"/>
    <w:rsid w:val="002625CF"/>
    <w:rsid w:val="002633DD"/>
    <w:rsid w:val="002634A5"/>
    <w:rsid w:val="002637AF"/>
    <w:rsid w:val="00272225"/>
    <w:rsid w:val="002729D3"/>
    <w:rsid w:val="00274C56"/>
    <w:rsid w:val="002836B5"/>
    <w:rsid w:val="00285AEF"/>
    <w:rsid w:val="00290D12"/>
    <w:rsid w:val="002915B2"/>
    <w:rsid w:val="002917B4"/>
    <w:rsid w:val="002A02A8"/>
    <w:rsid w:val="002A0BB1"/>
    <w:rsid w:val="002A252F"/>
    <w:rsid w:val="002A575E"/>
    <w:rsid w:val="002A5A3E"/>
    <w:rsid w:val="002B3BAF"/>
    <w:rsid w:val="002B3ED0"/>
    <w:rsid w:val="002B42C7"/>
    <w:rsid w:val="002C5922"/>
    <w:rsid w:val="002C5BF0"/>
    <w:rsid w:val="002C7039"/>
    <w:rsid w:val="002D1196"/>
    <w:rsid w:val="002E2E00"/>
    <w:rsid w:val="002E3EC0"/>
    <w:rsid w:val="002E6759"/>
    <w:rsid w:val="002F090B"/>
    <w:rsid w:val="002F298F"/>
    <w:rsid w:val="002F6820"/>
    <w:rsid w:val="002F6C56"/>
    <w:rsid w:val="002F7258"/>
    <w:rsid w:val="00302A52"/>
    <w:rsid w:val="00305237"/>
    <w:rsid w:val="0030601C"/>
    <w:rsid w:val="00307F8D"/>
    <w:rsid w:val="0031009D"/>
    <w:rsid w:val="00314765"/>
    <w:rsid w:val="003156C1"/>
    <w:rsid w:val="00322431"/>
    <w:rsid w:val="00324CE7"/>
    <w:rsid w:val="00325046"/>
    <w:rsid w:val="0033521F"/>
    <w:rsid w:val="0033535E"/>
    <w:rsid w:val="003458F3"/>
    <w:rsid w:val="00345A6A"/>
    <w:rsid w:val="00350F19"/>
    <w:rsid w:val="00352319"/>
    <w:rsid w:val="0035509D"/>
    <w:rsid w:val="00357018"/>
    <w:rsid w:val="0035725C"/>
    <w:rsid w:val="003575A3"/>
    <w:rsid w:val="00357639"/>
    <w:rsid w:val="00357EEB"/>
    <w:rsid w:val="00360C2E"/>
    <w:rsid w:val="00361686"/>
    <w:rsid w:val="00363AAD"/>
    <w:rsid w:val="00372173"/>
    <w:rsid w:val="00372524"/>
    <w:rsid w:val="003728BF"/>
    <w:rsid w:val="003762EC"/>
    <w:rsid w:val="0038098E"/>
    <w:rsid w:val="003826F4"/>
    <w:rsid w:val="00384D4E"/>
    <w:rsid w:val="00384D53"/>
    <w:rsid w:val="003871DA"/>
    <w:rsid w:val="00392D69"/>
    <w:rsid w:val="00393643"/>
    <w:rsid w:val="00397BC9"/>
    <w:rsid w:val="003A1172"/>
    <w:rsid w:val="003A24E7"/>
    <w:rsid w:val="003A6E6B"/>
    <w:rsid w:val="003B32C9"/>
    <w:rsid w:val="003B46FF"/>
    <w:rsid w:val="003B5F85"/>
    <w:rsid w:val="003C1550"/>
    <w:rsid w:val="003C33D2"/>
    <w:rsid w:val="003C466D"/>
    <w:rsid w:val="003C4C19"/>
    <w:rsid w:val="003D341C"/>
    <w:rsid w:val="003D6380"/>
    <w:rsid w:val="003E56D8"/>
    <w:rsid w:val="003E6E9B"/>
    <w:rsid w:val="003F01E4"/>
    <w:rsid w:val="003F1439"/>
    <w:rsid w:val="003F597C"/>
    <w:rsid w:val="00403E0B"/>
    <w:rsid w:val="00405692"/>
    <w:rsid w:val="00405CDD"/>
    <w:rsid w:val="0040653A"/>
    <w:rsid w:val="00411BCD"/>
    <w:rsid w:val="004148A2"/>
    <w:rsid w:val="004151C2"/>
    <w:rsid w:val="0042416A"/>
    <w:rsid w:val="004357E1"/>
    <w:rsid w:val="00435EBE"/>
    <w:rsid w:val="00444FB2"/>
    <w:rsid w:val="00447101"/>
    <w:rsid w:val="0045418A"/>
    <w:rsid w:val="00455B34"/>
    <w:rsid w:val="00455EE4"/>
    <w:rsid w:val="0046292F"/>
    <w:rsid w:val="00463758"/>
    <w:rsid w:val="004644FA"/>
    <w:rsid w:val="00464D1C"/>
    <w:rsid w:val="0046729B"/>
    <w:rsid w:val="00470630"/>
    <w:rsid w:val="0047325D"/>
    <w:rsid w:val="004748C9"/>
    <w:rsid w:val="00474EA7"/>
    <w:rsid w:val="00475908"/>
    <w:rsid w:val="00480633"/>
    <w:rsid w:val="0048187F"/>
    <w:rsid w:val="004819CE"/>
    <w:rsid w:val="00483184"/>
    <w:rsid w:val="00483785"/>
    <w:rsid w:val="004852BA"/>
    <w:rsid w:val="00493CE2"/>
    <w:rsid w:val="00495F1D"/>
    <w:rsid w:val="00496427"/>
    <w:rsid w:val="004A0786"/>
    <w:rsid w:val="004A1811"/>
    <w:rsid w:val="004A570B"/>
    <w:rsid w:val="004A6168"/>
    <w:rsid w:val="004A7598"/>
    <w:rsid w:val="004B0D59"/>
    <w:rsid w:val="004B329B"/>
    <w:rsid w:val="004B3EE3"/>
    <w:rsid w:val="004B4CA9"/>
    <w:rsid w:val="004B6713"/>
    <w:rsid w:val="004C1DCF"/>
    <w:rsid w:val="004C1E9C"/>
    <w:rsid w:val="004C3803"/>
    <w:rsid w:val="004D0373"/>
    <w:rsid w:val="004D24B8"/>
    <w:rsid w:val="004D6820"/>
    <w:rsid w:val="004D7461"/>
    <w:rsid w:val="005011AD"/>
    <w:rsid w:val="00501843"/>
    <w:rsid w:val="0050353A"/>
    <w:rsid w:val="00504406"/>
    <w:rsid w:val="00504847"/>
    <w:rsid w:val="005075DF"/>
    <w:rsid w:val="00515398"/>
    <w:rsid w:val="00526447"/>
    <w:rsid w:val="0053172D"/>
    <w:rsid w:val="005329B8"/>
    <w:rsid w:val="00535FB6"/>
    <w:rsid w:val="0054330F"/>
    <w:rsid w:val="005465B7"/>
    <w:rsid w:val="00554F76"/>
    <w:rsid w:val="005562DF"/>
    <w:rsid w:val="00560B23"/>
    <w:rsid w:val="005621D3"/>
    <w:rsid w:val="00562824"/>
    <w:rsid w:val="00567752"/>
    <w:rsid w:val="005710F5"/>
    <w:rsid w:val="00573892"/>
    <w:rsid w:val="00583919"/>
    <w:rsid w:val="00583FD2"/>
    <w:rsid w:val="00584005"/>
    <w:rsid w:val="00584A5A"/>
    <w:rsid w:val="0059532E"/>
    <w:rsid w:val="00595E92"/>
    <w:rsid w:val="005965AA"/>
    <w:rsid w:val="005A01EF"/>
    <w:rsid w:val="005A4192"/>
    <w:rsid w:val="005A722A"/>
    <w:rsid w:val="005B3F02"/>
    <w:rsid w:val="005B774E"/>
    <w:rsid w:val="005C00A6"/>
    <w:rsid w:val="005C071A"/>
    <w:rsid w:val="005C3CE3"/>
    <w:rsid w:val="005C53AC"/>
    <w:rsid w:val="005C630F"/>
    <w:rsid w:val="005C7934"/>
    <w:rsid w:val="005D7826"/>
    <w:rsid w:val="005D7D9D"/>
    <w:rsid w:val="005D7E1C"/>
    <w:rsid w:val="005E06AE"/>
    <w:rsid w:val="005E2667"/>
    <w:rsid w:val="005E28CA"/>
    <w:rsid w:val="005E5B9F"/>
    <w:rsid w:val="005E61A4"/>
    <w:rsid w:val="005E76D3"/>
    <w:rsid w:val="005F126E"/>
    <w:rsid w:val="005F5C3F"/>
    <w:rsid w:val="005F73BA"/>
    <w:rsid w:val="005F7B7B"/>
    <w:rsid w:val="006002CF"/>
    <w:rsid w:val="00603454"/>
    <w:rsid w:val="0060361C"/>
    <w:rsid w:val="00603E42"/>
    <w:rsid w:val="006054B5"/>
    <w:rsid w:val="00605C53"/>
    <w:rsid w:val="0060626C"/>
    <w:rsid w:val="0060750C"/>
    <w:rsid w:val="00610E62"/>
    <w:rsid w:val="00611B38"/>
    <w:rsid w:val="00612E8B"/>
    <w:rsid w:val="006130CA"/>
    <w:rsid w:val="00616911"/>
    <w:rsid w:val="00616B56"/>
    <w:rsid w:val="00616D55"/>
    <w:rsid w:val="00616E76"/>
    <w:rsid w:val="006234C0"/>
    <w:rsid w:val="00635FF9"/>
    <w:rsid w:val="006367B4"/>
    <w:rsid w:val="00636DCB"/>
    <w:rsid w:val="006371C2"/>
    <w:rsid w:val="00637E31"/>
    <w:rsid w:val="0064210A"/>
    <w:rsid w:val="00643014"/>
    <w:rsid w:val="00643A6D"/>
    <w:rsid w:val="006539AA"/>
    <w:rsid w:val="00654AFE"/>
    <w:rsid w:val="00660EC4"/>
    <w:rsid w:val="0066391B"/>
    <w:rsid w:val="006701D7"/>
    <w:rsid w:val="00675B2B"/>
    <w:rsid w:val="00677007"/>
    <w:rsid w:val="00682B3A"/>
    <w:rsid w:val="00683CA7"/>
    <w:rsid w:val="00686998"/>
    <w:rsid w:val="00691E2B"/>
    <w:rsid w:val="00697FB9"/>
    <w:rsid w:val="006A60C4"/>
    <w:rsid w:val="006C6C72"/>
    <w:rsid w:val="006C6DB2"/>
    <w:rsid w:val="006D1560"/>
    <w:rsid w:val="006E0650"/>
    <w:rsid w:val="006E46D2"/>
    <w:rsid w:val="006E5B51"/>
    <w:rsid w:val="006E63EB"/>
    <w:rsid w:val="006F26D0"/>
    <w:rsid w:val="006F5A45"/>
    <w:rsid w:val="006F6DB2"/>
    <w:rsid w:val="00704C09"/>
    <w:rsid w:val="007064C2"/>
    <w:rsid w:val="00706ED4"/>
    <w:rsid w:val="00707CC5"/>
    <w:rsid w:val="00711811"/>
    <w:rsid w:val="0071277E"/>
    <w:rsid w:val="00720208"/>
    <w:rsid w:val="00720BE8"/>
    <w:rsid w:val="00721012"/>
    <w:rsid w:val="00723CBD"/>
    <w:rsid w:val="00727092"/>
    <w:rsid w:val="0073547D"/>
    <w:rsid w:val="0073574F"/>
    <w:rsid w:val="00736464"/>
    <w:rsid w:val="0073658D"/>
    <w:rsid w:val="00741346"/>
    <w:rsid w:val="00755E29"/>
    <w:rsid w:val="007562C6"/>
    <w:rsid w:val="007642DE"/>
    <w:rsid w:val="00764FD9"/>
    <w:rsid w:val="00765850"/>
    <w:rsid w:val="00766459"/>
    <w:rsid w:val="00771760"/>
    <w:rsid w:val="0077233D"/>
    <w:rsid w:val="00772D46"/>
    <w:rsid w:val="007732B0"/>
    <w:rsid w:val="00775D27"/>
    <w:rsid w:val="00776798"/>
    <w:rsid w:val="00780054"/>
    <w:rsid w:val="007845F7"/>
    <w:rsid w:val="007849D5"/>
    <w:rsid w:val="00784A39"/>
    <w:rsid w:val="007869F7"/>
    <w:rsid w:val="00791C1A"/>
    <w:rsid w:val="00793A69"/>
    <w:rsid w:val="00793AB3"/>
    <w:rsid w:val="00794647"/>
    <w:rsid w:val="007950EC"/>
    <w:rsid w:val="00797462"/>
    <w:rsid w:val="007977F7"/>
    <w:rsid w:val="007A105B"/>
    <w:rsid w:val="007A1E8F"/>
    <w:rsid w:val="007A347D"/>
    <w:rsid w:val="007B6604"/>
    <w:rsid w:val="007B79F4"/>
    <w:rsid w:val="007C1DEC"/>
    <w:rsid w:val="007C2053"/>
    <w:rsid w:val="007C3ED8"/>
    <w:rsid w:val="007C5B3E"/>
    <w:rsid w:val="007C7C73"/>
    <w:rsid w:val="007D056F"/>
    <w:rsid w:val="007D4A06"/>
    <w:rsid w:val="007E26AD"/>
    <w:rsid w:val="007E5F90"/>
    <w:rsid w:val="007E6E50"/>
    <w:rsid w:val="007F2A5F"/>
    <w:rsid w:val="007F5959"/>
    <w:rsid w:val="00806D25"/>
    <w:rsid w:val="008078AE"/>
    <w:rsid w:val="00820FF5"/>
    <w:rsid w:val="00821D91"/>
    <w:rsid w:val="00822272"/>
    <w:rsid w:val="00830B61"/>
    <w:rsid w:val="008313ED"/>
    <w:rsid w:val="0083371E"/>
    <w:rsid w:val="00841D53"/>
    <w:rsid w:val="008441D6"/>
    <w:rsid w:val="00844CE6"/>
    <w:rsid w:val="00846078"/>
    <w:rsid w:val="00847C6A"/>
    <w:rsid w:val="00851ED6"/>
    <w:rsid w:val="008535B1"/>
    <w:rsid w:val="00853C8A"/>
    <w:rsid w:val="00857A36"/>
    <w:rsid w:val="00861001"/>
    <w:rsid w:val="00863077"/>
    <w:rsid w:val="008677E1"/>
    <w:rsid w:val="008732E7"/>
    <w:rsid w:val="00890F1D"/>
    <w:rsid w:val="00891AE9"/>
    <w:rsid w:val="008924D9"/>
    <w:rsid w:val="008928F2"/>
    <w:rsid w:val="00894030"/>
    <w:rsid w:val="008974A3"/>
    <w:rsid w:val="008974B1"/>
    <w:rsid w:val="008A0BE6"/>
    <w:rsid w:val="008A15AD"/>
    <w:rsid w:val="008A658B"/>
    <w:rsid w:val="008B0A48"/>
    <w:rsid w:val="008B1A03"/>
    <w:rsid w:val="008B37DA"/>
    <w:rsid w:val="008B4985"/>
    <w:rsid w:val="008C18E0"/>
    <w:rsid w:val="008C191A"/>
    <w:rsid w:val="008C1F9E"/>
    <w:rsid w:val="008C564D"/>
    <w:rsid w:val="008C5B6C"/>
    <w:rsid w:val="008C5EF1"/>
    <w:rsid w:val="008D0481"/>
    <w:rsid w:val="008D3DA1"/>
    <w:rsid w:val="008D4B51"/>
    <w:rsid w:val="008E24CB"/>
    <w:rsid w:val="008F13CC"/>
    <w:rsid w:val="008F15D9"/>
    <w:rsid w:val="008F40B9"/>
    <w:rsid w:val="00900E26"/>
    <w:rsid w:val="00901493"/>
    <w:rsid w:val="009051A0"/>
    <w:rsid w:val="00907D6C"/>
    <w:rsid w:val="00910671"/>
    <w:rsid w:val="00910D34"/>
    <w:rsid w:val="009137DB"/>
    <w:rsid w:val="00922614"/>
    <w:rsid w:val="00925721"/>
    <w:rsid w:val="00931183"/>
    <w:rsid w:val="00931E71"/>
    <w:rsid w:val="009330D3"/>
    <w:rsid w:val="00935031"/>
    <w:rsid w:val="0093598C"/>
    <w:rsid w:val="0094219A"/>
    <w:rsid w:val="00942A0E"/>
    <w:rsid w:val="00943148"/>
    <w:rsid w:val="009457B3"/>
    <w:rsid w:val="00945E25"/>
    <w:rsid w:val="00947D7F"/>
    <w:rsid w:val="0095021E"/>
    <w:rsid w:val="00953C48"/>
    <w:rsid w:val="00957880"/>
    <w:rsid w:val="00967417"/>
    <w:rsid w:val="00970E17"/>
    <w:rsid w:val="00972A0D"/>
    <w:rsid w:val="0097363F"/>
    <w:rsid w:val="00973971"/>
    <w:rsid w:val="00981B0B"/>
    <w:rsid w:val="0098281E"/>
    <w:rsid w:val="00983960"/>
    <w:rsid w:val="00984A11"/>
    <w:rsid w:val="00985151"/>
    <w:rsid w:val="00985781"/>
    <w:rsid w:val="00987354"/>
    <w:rsid w:val="00987DFC"/>
    <w:rsid w:val="009908FA"/>
    <w:rsid w:val="0099190D"/>
    <w:rsid w:val="00992E96"/>
    <w:rsid w:val="0099544E"/>
    <w:rsid w:val="009A3EF7"/>
    <w:rsid w:val="009A61B9"/>
    <w:rsid w:val="009A6944"/>
    <w:rsid w:val="009A76A2"/>
    <w:rsid w:val="009B5DD2"/>
    <w:rsid w:val="009B730F"/>
    <w:rsid w:val="009C5010"/>
    <w:rsid w:val="009C5CDB"/>
    <w:rsid w:val="009D1CF8"/>
    <w:rsid w:val="009D64EC"/>
    <w:rsid w:val="009D717E"/>
    <w:rsid w:val="009D7B95"/>
    <w:rsid w:val="009E0AC7"/>
    <w:rsid w:val="009E3119"/>
    <w:rsid w:val="009E561E"/>
    <w:rsid w:val="009E63C7"/>
    <w:rsid w:val="009F1176"/>
    <w:rsid w:val="00A0348D"/>
    <w:rsid w:val="00A055A8"/>
    <w:rsid w:val="00A05F72"/>
    <w:rsid w:val="00A0712E"/>
    <w:rsid w:val="00A17529"/>
    <w:rsid w:val="00A22E2D"/>
    <w:rsid w:val="00A2300E"/>
    <w:rsid w:val="00A23341"/>
    <w:rsid w:val="00A27915"/>
    <w:rsid w:val="00A328E4"/>
    <w:rsid w:val="00A334A4"/>
    <w:rsid w:val="00A401BA"/>
    <w:rsid w:val="00A40FAF"/>
    <w:rsid w:val="00A42FAE"/>
    <w:rsid w:val="00A471E7"/>
    <w:rsid w:val="00A50517"/>
    <w:rsid w:val="00A520B0"/>
    <w:rsid w:val="00A55149"/>
    <w:rsid w:val="00A667F6"/>
    <w:rsid w:val="00A720C7"/>
    <w:rsid w:val="00A7220F"/>
    <w:rsid w:val="00A7275F"/>
    <w:rsid w:val="00A732D2"/>
    <w:rsid w:val="00A73DF6"/>
    <w:rsid w:val="00A7746B"/>
    <w:rsid w:val="00A9257E"/>
    <w:rsid w:val="00A93C8F"/>
    <w:rsid w:val="00A947C2"/>
    <w:rsid w:val="00A968CF"/>
    <w:rsid w:val="00A97983"/>
    <w:rsid w:val="00AA2AC6"/>
    <w:rsid w:val="00AB04A4"/>
    <w:rsid w:val="00AB16FA"/>
    <w:rsid w:val="00AB1B66"/>
    <w:rsid w:val="00AC2D42"/>
    <w:rsid w:val="00AC367C"/>
    <w:rsid w:val="00AC63E8"/>
    <w:rsid w:val="00AC6FD4"/>
    <w:rsid w:val="00AC7DB3"/>
    <w:rsid w:val="00AD1143"/>
    <w:rsid w:val="00AD1442"/>
    <w:rsid w:val="00AD1C5F"/>
    <w:rsid w:val="00AD5BA1"/>
    <w:rsid w:val="00AF562C"/>
    <w:rsid w:val="00AF6E1E"/>
    <w:rsid w:val="00AF7F6D"/>
    <w:rsid w:val="00B01FD3"/>
    <w:rsid w:val="00B055AB"/>
    <w:rsid w:val="00B075D9"/>
    <w:rsid w:val="00B10728"/>
    <w:rsid w:val="00B12198"/>
    <w:rsid w:val="00B14E17"/>
    <w:rsid w:val="00B160E7"/>
    <w:rsid w:val="00B215F9"/>
    <w:rsid w:val="00B2250E"/>
    <w:rsid w:val="00B23DA6"/>
    <w:rsid w:val="00B251F9"/>
    <w:rsid w:val="00B27ADD"/>
    <w:rsid w:val="00B27F61"/>
    <w:rsid w:val="00B32514"/>
    <w:rsid w:val="00B4271B"/>
    <w:rsid w:val="00B44A03"/>
    <w:rsid w:val="00B465BC"/>
    <w:rsid w:val="00B5131B"/>
    <w:rsid w:val="00B60914"/>
    <w:rsid w:val="00B61E7A"/>
    <w:rsid w:val="00B6242A"/>
    <w:rsid w:val="00B74A6F"/>
    <w:rsid w:val="00B77E92"/>
    <w:rsid w:val="00B82BF3"/>
    <w:rsid w:val="00B8491E"/>
    <w:rsid w:val="00B86FC6"/>
    <w:rsid w:val="00B8727E"/>
    <w:rsid w:val="00B87A5E"/>
    <w:rsid w:val="00B96202"/>
    <w:rsid w:val="00B967CA"/>
    <w:rsid w:val="00BA0B9C"/>
    <w:rsid w:val="00BA2843"/>
    <w:rsid w:val="00BA2BD2"/>
    <w:rsid w:val="00BA447F"/>
    <w:rsid w:val="00BA6F6F"/>
    <w:rsid w:val="00BB1130"/>
    <w:rsid w:val="00BB5AA3"/>
    <w:rsid w:val="00BB78F7"/>
    <w:rsid w:val="00BC7F32"/>
    <w:rsid w:val="00BD12CF"/>
    <w:rsid w:val="00BD1550"/>
    <w:rsid w:val="00BD1EC5"/>
    <w:rsid w:val="00BD33C0"/>
    <w:rsid w:val="00BD5861"/>
    <w:rsid w:val="00BD615A"/>
    <w:rsid w:val="00BE0F05"/>
    <w:rsid w:val="00BE3E02"/>
    <w:rsid w:val="00BE58F2"/>
    <w:rsid w:val="00BE65F9"/>
    <w:rsid w:val="00BF3975"/>
    <w:rsid w:val="00BF62A4"/>
    <w:rsid w:val="00C00251"/>
    <w:rsid w:val="00C01CBC"/>
    <w:rsid w:val="00C023EF"/>
    <w:rsid w:val="00C03562"/>
    <w:rsid w:val="00C03B5A"/>
    <w:rsid w:val="00C043A9"/>
    <w:rsid w:val="00C046BE"/>
    <w:rsid w:val="00C06C62"/>
    <w:rsid w:val="00C07892"/>
    <w:rsid w:val="00C30A31"/>
    <w:rsid w:val="00C32C75"/>
    <w:rsid w:val="00C35DFE"/>
    <w:rsid w:val="00C35E15"/>
    <w:rsid w:val="00C374CF"/>
    <w:rsid w:val="00C40724"/>
    <w:rsid w:val="00C41217"/>
    <w:rsid w:val="00C44A77"/>
    <w:rsid w:val="00C44FD0"/>
    <w:rsid w:val="00C50D62"/>
    <w:rsid w:val="00C53694"/>
    <w:rsid w:val="00C54182"/>
    <w:rsid w:val="00C55F68"/>
    <w:rsid w:val="00C57811"/>
    <w:rsid w:val="00C57F96"/>
    <w:rsid w:val="00C60083"/>
    <w:rsid w:val="00C641B5"/>
    <w:rsid w:val="00C641F8"/>
    <w:rsid w:val="00C67BA9"/>
    <w:rsid w:val="00C71A26"/>
    <w:rsid w:val="00C83C08"/>
    <w:rsid w:val="00C9126C"/>
    <w:rsid w:val="00C93D54"/>
    <w:rsid w:val="00C943C0"/>
    <w:rsid w:val="00C954D2"/>
    <w:rsid w:val="00CA0FAF"/>
    <w:rsid w:val="00CA2AB5"/>
    <w:rsid w:val="00CA55A2"/>
    <w:rsid w:val="00CA5817"/>
    <w:rsid w:val="00CA5AD6"/>
    <w:rsid w:val="00CA7C80"/>
    <w:rsid w:val="00CB2292"/>
    <w:rsid w:val="00CB23E6"/>
    <w:rsid w:val="00CB2EDA"/>
    <w:rsid w:val="00CB5A71"/>
    <w:rsid w:val="00CC25A9"/>
    <w:rsid w:val="00CC2D15"/>
    <w:rsid w:val="00CC6641"/>
    <w:rsid w:val="00CD0A6A"/>
    <w:rsid w:val="00CD341F"/>
    <w:rsid w:val="00CE4E4A"/>
    <w:rsid w:val="00CE539F"/>
    <w:rsid w:val="00CE7B77"/>
    <w:rsid w:val="00CF0B60"/>
    <w:rsid w:val="00CF1818"/>
    <w:rsid w:val="00CF43E4"/>
    <w:rsid w:val="00CF4C3D"/>
    <w:rsid w:val="00CF4D40"/>
    <w:rsid w:val="00CF6100"/>
    <w:rsid w:val="00CF618F"/>
    <w:rsid w:val="00CF7234"/>
    <w:rsid w:val="00D011CE"/>
    <w:rsid w:val="00D038A9"/>
    <w:rsid w:val="00D05967"/>
    <w:rsid w:val="00D133A1"/>
    <w:rsid w:val="00D146C8"/>
    <w:rsid w:val="00D14D25"/>
    <w:rsid w:val="00D21A72"/>
    <w:rsid w:val="00D23603"/>
    <w:rsid w:val="00D245B5"/>
    <w:rsid w:val="00D24C8C"/>
    <w:rsid w:val="00D30B7B"/>
    <w:rsid w:val="00D323FA"/>
    <w:rsid w:val="00D33809"/>
    <w:rsid w:val="00D36C5A"/>
    <w:rsid w:val="00D41252"/>
    <w:rsid w:val="00D414E9"/>
    <w:rsid w:val="00D45B4D"/>
    <w:rsid w:val="00D46B6F"/>
    <w:rsid w:val="00D47C97"/>
    <w:rsid w:val="00D535B5"/>
    <w:rsid w:val="00D53F1B"/>
    <w:rsid w:val="00D540E7"/>
    <w:rsid w:val="00D64A0B"/>
    <w:rsid w:val="00D711A7"/>
    <w:rsid w:val="00D71604"/>
    <w:rsid w:val="00D74C85"/>
    <w:rsid w:val="00D7705B"/>
    <w:rsid w:val="00D80F16"/>
    <w:rsid w:val="00D81730"/>
    <w:rsid w:val="00D85ABB"/>
    <w:rsid w:val="00D85CF5"/>
    <w:rsid w:val="00D91E1D"/>
    <w:rsid w:val="00DA30E9"/>
    <w:rsid w:val="00DA422E"/>
    <w:rsid w:val="00DA479A"/>
    <w:rsid w:val="00DA4FA9"/>
    <w:rsid w:val="00DA67CB"/>
    <w:rsid w:val="00DB4B25"/>
    <w:rsid w:val="00DB65A5"/>
    <w:rsid w:val="00DC1101"/>
    <w:rsid w:val="00DC2AAB"/>
    <w:rsid w:val="00DD0E17"/>
    <w:rsid w:val="00DD3202"/>
    <w:rsid w:val="00DD48E1"/>
    <w:rsid w:val="00DE06FF"/>
    <w:rsid w:val="00DE17F5"/>
    <w:rsid w:val="00DE20FF"/>
    <w:rsid w:val="00DE42C0"/>
    <w:rsid w:val="00DF09AF"/>
    <w:rsid w:val="00DF0DB7"/>
    <w:rsid w:val="00E00473"/>
    <w:rsid w:val="00E00CF4"/>
    <w:rsid w:val="00E00F0D"/>
    <w:rsid w:val="00E02113"/>
    <w:rsid w:val="00E05C84"/>
    <w:rsid w:val="00E05D29"/>
    <w:rsid w:val="00E06575"/>
    <w:rsid w:val="00E141C8"/>
    <w:rsid w:val="00E1448D"/>
    <w:rsid w:val="00E17482"/>
    <w:rsid w:val="00E20742"/>
    <w:rsid w:val="00E2343F"/>
    <w:rsid w:val="00E350CD"/>
    <w:rsid w:val="00E353AA"/>
    <w:rsid w:val="00E4050D"/>
    <w:rsid w:val="00E43C58"/>
    <w:rsid w:val="00E44340"/>
    <w:rsid w:val="00E4588F"/>
    <w:rsid w:val="00E50E92"/>
    <w:rsid w:val="00E53E28"/>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8474B"/>
    <w:rsid w:val="00E86BC8"/>
    <w:rsid w:val="00E914DD"/>
    <w:rsid w:val="00E940E4"/>
    <w:rsid w:val="00E96316"/>
    <w:rsid w:val="00EA088D"/>
    <w:rsid w:val="00EA15A3"/>
    <w:rsid w:val="00EA5002"/>
    <w:rsid w:val="00EB17CE"/>
    <w:rsid w:val="00EB1BDF"/>
    <w:rsid w:val="00EB21A4"/>
    <w:rsid w:val="00EB4CFF"/>
    <w:rsid w:val="00EC536F"/>
    <w:rsid w:val="00EC7ED0"/>
    <w:rsid w:val="00ED14A3"/>
    <w:rsid w:val="00ED2607"/>
    <w:rsid w:val="00ED561E"/>
    <w:rsid w:val="00ED60BA"/>
    <w:rsid w:val="00EE1EC8"/>
    <w:rsid w:val="00EE2F4C"/>
    <w:rsid w:val="00EE6410"/>
    <w:rsid w:val="00EE6F2A"/>
    <w:rsid w:val="00EF46DE"/>
    <w:rsid w:val="00EF6827"/>
    <w:rsid w:val="00F015BD"/>
    <w:rsid w:val="00F05643"/>
    <w:rsid w:val="00F0770D"/>
    <w:rsid w:val="00F116E9"/>
    <w:rsid w:val="00F1210B"/>
    <w:rsid w:val="00F135BD"/>
    <w:rsid w:val="00F156FE"/>
    <w:rsid w:val="00F209FD"/>
    <w:rsid w:val="00F246BE"/>
    <w:rsid w:val="00F30975"/>
    <w:rsid w:val="00F32277"/>
    <w:rsid w:val="00F42512"/>
    <w:rsid w:val="00F4499B"/>
    <w:rsid w:val="00F46CD5"/>
    <w:rsid w:val="00F472E6"/>
    <w:rsid w:val="00F47816"/>
    <w:rsid w:val="00F50FF3"/>
    <w:rsid w:val="00F522C7"/>
    <w:rsid w:val="00F52341"/>
    <w:rsid w:val="00F53361"/>
    <w:rsid w:val="00F54EC7"/>
    <w:rsid w:val="00F71C80"/>
    <w:rsid w:val="00F75F76"/>
    <w:rsid w:val="00F81C9A"/>
    <w:rsid w:val="00F82574"/>
    <w:rsid w:val="00F83CAB"/>
    <w:rsid w:val="00F83CEE"/>
    <w:rsid w:val="00F83D41"/>
    <w:rsid w:val="00F878DF"/>
    <w:rsid w:val="00F91C7D"/>
    <w:rsid w:val="00F965AD"/>
    <w:rsid w:val="00F967D8"/>
    <w:rsid w:val="00F97662"/>
    <w:rsid w:val="00F97F33"/>
    <w:rsid w:val="00FA06FF"/>
    <w:rsid w:val="00FA0D7C"/>
    <w:rsid w:val="00FA4197"/>
    <w:rsid w:val="00FA4F69"/>
    <w:rsid w:val="00FB09B6"/>
    <w:rsid w:val="00FB1421"/>
    <w:rsid w:val="00FC0047"/>
    <w:rsid w:val="00FC379E"/>
    <w:rsid w:val="00FD304C"/>
    <w:rsid w:val="00FD4CB5"/>
    <w:rsid w:val="00FD6AF6"/>
    <w:rsid w:val="00FE1BF3"/>
    <w:rsid w:val="00FF125B"/>
    <w:rsid w:val="00FF29E0"/>
    <w:rsid w:val="00FF3AA7"/>
    <w:rsid w:val="00FF49DC"/>
    <w:rsid w:val="00FF6818"/>
    <w:rsid w:val="077B5CBB"/>
    <w:rsid w:val="0B50786C"/>
    <w:rsid w:val="6E3855E1"/>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42960961">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399015685">
      <w:bodyDiv w:val="1"/>
      <w:marLeft w:val="0"/>
      <w:marRight w:val="0"/>
      <w:marTop w:val="0"/>
      <w:marBottom w:val="0"/>
      <w:divBdr>
        <w:top w:val="none" w:sz="0" w:space="0" w:color="auto"/>
        <w:left w:val="none" w:sz="0" w:space="0" w:color="auto"/>
        <w:bottom w:val="none" w:sz="0" w:space="0" w:color="auto"/>
        <w:right w:val="none" w:sz="0" w:space="0" w:color="auto"/>
      </w:divBdr>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sites/default/files/documents/Divergence%20of%20relative%20needs%20over%20time%20%28NR%20TWG%2018%2009%29.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cal.gov.uk/sites/default/files/documents/Criteria%20for%20evaluating%20fair%20funding%20review%20proposals%20%28NR%20TWG%2018%2010%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24" Type="http://schemas.openxmlformats.org/officeDocument/2006/relationships/hyperlink" Target="https://www.local.gov.uk/business-rates-retention-mode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ocal.gov.uk/fair-funding-review-modelling-tools" TargetMode="External"/><Relationship Id="rId10" Type="http://schemas.openxmlformats.org/officeDocument/2006/relationships/endnotes" Target="endnotes.xml"/><Relationship Id="rId19" Type="http://schemas.openxmlformats.org/officeDocument/2006/relationships/hyperlink" Target="https://www.local.gov.uk/business-rates-retention-mod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ocal.gov.uk/fair-funding-review-modelling-tools" TargetMode="Externa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4E193D4C-BEA6-4B4B-8825-74A1F3BC8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schemas.openxmlformats.org/package/2006/metadata/core-properties"/>
    <ds:schemaRef ds:uri="33320922-3aa3-40cb-b26e-1bfebf933094"/>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846c3db3-041b-47fd-b02b-1debea70191d"/>
    <ds:schemaRef ds:uri="http://schemas.microsoft.com/office/2006/metadata/properties"/>
  </ds:schemaRefs>
</ds:datastoreItem>
</file>

<file path=customXml/itemProps4.xml><?xml version="1.0" encoding="utf-8"?>
<ds:datastoreItem xmlns:ds="http://schemas.openxmlformats.org/officeDocument/2006/customXml" ds:itemID="{918B0AA2-3C1A-424F-A47A-86ABAA5D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582FCB8C</Template>
  <TotalTime>277</TotalTime>
  <Pages>13</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80</cp:revision>
  <dcterms:created xsi:type="dcterms:W3CDTF">2018-11-12T14:01:00Z</dcterms:created>
  <dcterms:modified xsi:type="dcterms:W3CDTF">2018-11-28T15:51:00Z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